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menthe poivrée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trans-menthone; isomenthone; d-limonene; alpha-pinene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1,633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(ATE=1500 mg/kg de poids corporel)</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alpha-pinene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Skin Irrit. 2, H315</w:t>
              <w:br/>
              <w:t>Skin Sens. 1, H317</w:t>
              <w:br/>
              <w:t>Asp. Tox. 1, H304</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Menthe.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de poids corporel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alpha-pinene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de poids corporel Animal: rat, Animal sex: male,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671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de poids corporel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menthe poivrée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 mg/l Test organisms (species): Pimephales promelas</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alpha-pinene (80-56-8)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menthe poivrée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alpha-pinene (80-56-8)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trans-menthone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alpha-pinene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menthe poivrée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menthe poivrée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8590D7C-76F6-461B-8466-C0B8ECB7A4B8}"/>
</file>

<file path=customXml/itemProps3.xml><?xml version="1.0" encoding="utf-8"?>
<ds:datastoreItem xmlns:ds="http://schemas.openxmlformats.org/officeDocument/2006/customXml" ds:itemID="{D89D6299-3F5A-4B48-A26F-69E6F91C0C26}"/>
</file>

<file path=customXml/itemProps4.xml><?xml version="1.0" encoding="utf-8"?>
<ds:datastoreItem xmlns:ds="http://schemas.openxmlformats.org/officeDocument/2006/customXml" ds:itemID="{2BF2023C-20EB-471C-A3A7-E173A3723F3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