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menthe citronnée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2,4-diméthylcyclohex-3-ène-1-carbaldéhyde, citral, carvone (ISO); 2-méthyl-5-(prop-1-en-2-yl)cyclohex-2-en-1-one.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99-49-0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202-759-5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Menthe. Hespéridée. Verte.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menthe citronnée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menthe citronnée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2,4-dimethylcyclohex-3-ene-1-carbaldehyde (68039-49-6)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chronique, catégorie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2,4-diméthylcyclohex-3-ène-1-carbaldéhyde, citral, carvone (ISO); 2-méthyl-5-(prop-1-en-2-yl)cyclohex-2-en-1-one.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menthe citronnée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menthe citronnée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05/06/2026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E08CC3F-5046-4D0F-9B85-5A5F9890A6B7}"/>
</file>

<file path=customXml/itemProps3.xml><?xml version="1.0" encoding="utf-8"?>
<ds:datastoreItem xmlns:ds="http://schemas.openxmlformats.org/officeDocument/2006/customXml" ds:itemID="{0BA00C7F-6409-4537-84A4-CA99A0188476}"/>
</file>

<file path=customXml/itemProps4.xml><?xml version="1.0" encoding="utf-8"?>
<ds:datastoreItem xmlns:ds="http://schemas.openxmlformats.org/officeDocument/2006/customXml" ds:itemID="{405981E6-2238-48D0-843E-63F96B4B1B49}"/>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