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menthe citronnée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p w:rsidR="00827634" w:rsidRPr="0069446B" w:rsidP="009E5102" w14:paraId="29F388B8" w14:textId="4336E5B9">
      <w:pPr>
        <w:pStyle w:val="SDSTextNormal"/>
        <w:rPr>
          <w:noProof/>
        </w:rPr>
      </w:pPr>
      <w:r w:rsidRPr="0069446B">
        <w:rPr>
          <w:noProof/>
        </w:rPr>
        <w:t>Non classé</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A notre connaissance, ce produit ne présente pas de risque particulier, sous réserve de respecter les règles générales d’hygiène industrielle.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P501 - Éliminer le contenu et le récipient dans un centre de tri, conformément à la réglementation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Phrases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Contient 2,4-diméthylcyclohex-3-ène-1-carbaldéhyde, citral, carvone (ISO); 2-méthyl-5-(prop-1-en-2-yl)cyclohex-2-en-1-one, MENTHONE. Peut produire une réaction allergique.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carvone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99-49-0</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202-759-5</w:t>
            </w:r>
          </w:p>
          <w:p w:rsidR="00827634" w:rsidRPr="0069446B" w:rsidP="009B0F88" w14:paraId="6ACDC690"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606-148-00-8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0,85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5392-40-5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226-394-6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2,4-dimethylcyclohex-3-ene-1-carbaldehyde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68039-49-6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268-264-1</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605-043-00-4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2, H411</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trans-menthone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89-80-5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201-941-1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orale), H302 (ATE=1500 mg/kg de poids corporel)</w:t>
              <w:br/>
              <w:t>Skin Irrit. 2, H315</w:t>
              <w:br/>
              <w:t>Skin Sens. 1B, H317</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Laver la peau avec beaucoup d’eau.</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Aucun(es) dans des conditions normales. Les poussières peuvent occasionner une irritation dans les plis de la peau ou par contact en portant un vêtement serré.</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Ventiler la zone de déversement.</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Transvaser le produit dans un récipient sec à l’aide d’une pelle, et refermer le récipient sans comprimer le produit.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Menthe. Hespéridée. Verte.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trans-menthone (89-80-5)</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1500 mg/kg de poids corporel Animal: mouse, Guideline: other:</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de poids corporel Animal: rabbit,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trans-menthone (89-80-5)</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3,78 Temp.: 26,5 °C</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trans-menthone (89-80-5)</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3,78 Temp.: 26,5 °C</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classé (Compte tenu des données disponibles, les critères de classification ne sont pas remplis)</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trans-menthone (89-80-5)</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(animal/mâle,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800 mg/kg de poids corporel Animal: rat, Animal sex: male, Guideline: other:</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671 mg/kg de poids corporel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menthe citronnée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Informations sur les autres dangers</w:t>
      </w:r>
      <w:bookmarkEnd w:id="2"/>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Ce produit n’est pas considéré comme toxique pour les organismes aquatiques et ne provoque pas d’effets néfastes à long terme dans l’environnement.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classé (Compte tenu des données disponibles, les critères de classification ne sont pas remplis)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trans-menthone (89-80-5)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sidR="00FA7F7F">
              <w:rPr>
                <w:noProof/>
              </w:rPr>
              <w:t>20,973 mg/l Test organisms (species): other:</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Poisson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13 mg/l Test organisms (species): Pimephales promelas</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2,5 mg/l Test organisms (species): other:</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&gt; 70 mg/l Test organisms (species): other:</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13,399 mg/l Test organisms (species): other:</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menthe citronnée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2,4-dimethylcyclohex-3-ene-1-carbaldehyde (68039-49-6)</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citral (5392-40-5)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carvone (99-49-0)</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trans-menthone (89-80-5)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3"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2,4-dimethylcyclohex-3-ene-1-carbaldehyde ; trans-menthone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2,4-dimethylcyclohex-3-ene-1-carbaldehyde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 de danger 4.1</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(par voie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Toxicité aiguë (par voie orale), catégorie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2</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en cas d’ingestion.</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Toxique pour les organismes aquatiques, entraîne des effets néfastes à long terme.</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Contient 2,4-diméthylcyclohex-3-ène-1-carbaldéhyde, citral, carvone (ISO); 2-méthyl-5-(prop-1-en-2-yl)cyclohex-2-en-1-one, MENTHONE. Peut produire une réaction allergique.</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05/06/2026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10</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05/06/2026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menthe citronnée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menthe citronnée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05/06/2026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1C0B8F11-640C-4018-9288-19AB08D7318D}"/>
</file>

<file path=customXml/itemProps3.xml><?xml version="1.0" encoding="utf-8"?>
<ds:datastoreItem xmlns:ds="http://schemas.openxmlformats.org/officeDocument/2006/customXml" ds:itemID="{F504DDB5-CAE3-4D18-B213-A613E07C224F}"/>
</file>

<file path=customXml/itemProps4.xml><?xml version="1.0" encoding="utf-8"?>
<ds:datastoreItem xmlns:ds="http://schemas.openxmlformats.org/officeDocument/2006/customXml" ds:itemID="{D969B982-7C32-49E3-8D51-42157ABD8718}"/>
</file>

<file path=docProps/app.xml><?xml version="1.0" encoding="utf-8"?>
<Properties xmlns="http://schemas.openxmlformats.org/officeDocument/2006/extended-properties" xmlns:vt="http://schemas.openxmlformats.org/officeDocument/2006/docPropsVTypes">
  <Template>Normal</Template>
  <TotalTime>219</TotalTime>
  <Pages>10</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