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menthe chlorophyle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l-carvone; (5R)-2-méthyl-5-(prop-1-en-2-yl)cyclohex-2-en-1-one.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6485-40-1</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229-352-5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0,9177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Menthe. Fraiche.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l-p-mentha-1(6),8-dien-2-one (6485-40-1)</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menthe chlorophyle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l-p-mentha-1(6),8-dien-2-one (6485-40-1)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6,1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menthe chlorophyle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l-p-mentha-1(6),8-dien-2-one (6485-40-1)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Sensibilisation cutanée, catégorie 1B</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l-carvone; (5R)-2-méthyl-5-(prop-1-en-2-yl)cyclohex-2-en-1-one.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menthe chlorophyle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menthe chlorophyle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05/08/2026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393C165-ECE8-45F5-A6FB-40BDC5B7F79D}"/>
</file>

<file path=customXml/itemProps3.xml><?xml version="1.0" encoding="utf-8"?>
<ds:datastoreItem xmlns:ds="http://schemas.openxmlformats.org/officeDocument/2006/customXml" ds:itemID="{90906562-0DC2-40F5-BDDC-6BAC3AECDBFB}"/>
</file>

<file path=customXml/itemProps4.xml><?xml version="1.0" encoding="utf-8"?>
<ds:datastoreItem xmlns:ds="http://schemas.openxmlformats.org/officeDocument/2006/customXml" ds:itemID="{31F1C156-9DC5-461A-BE14-64299DB3D66F}"/>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