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melon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linalool, GERANYL ACETATE, neryl acetate, 3-(p-ethylphenyl)-2,2-dimethylpropionaldehyde.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tetrahydro-2-isobutyl-4-methy</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63500-71-0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405-040-6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141-12-8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205-459-2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3-(p-ethylphenyl)-2,2-dimethylpropionaldehyde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67634-15-5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266-819-2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Acute 1, H400</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muguet. Fruitée. Verte.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tetrahydro-2-isobutyl-4-methy (63500-71-0)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EU Method B.1 (Acute Toxicity (Oral)),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de poids corporel Animal: rat, 95% CL: 5450 - 7340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tetrahydro-2-isobutyl-4-methy (63500-71-0)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125 mg/kg de poids corporel Animal: rat, Guideline: OECD Guideline 407 (Repeated Dose 28-Day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1000 mg/kg de poids corporel Animal: rat, Guideline: OECD Guideline 411 (Subchronic Dermal Toxicity: 90-Day Study), Guideline: EU Method B.28 (Sub-Chronic Dermal Toxicity Test: 90-Day Repeated Dermal Dose Study Using Rodent Species)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melon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tetrahydro-2-isobutyl-4-methy (63500-71-0)</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320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melon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tetrahydro-2-isobutyl-4-methy (63500-71-0)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neryl acetate (141-12-8)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3-(p-ethylphenyl)-2,2-dimethylpropionaldehyde (67634-15-5)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tetrahydro-2-isobutyl-4-methy ; linalool ; 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linalool, GERANYL ACETATE, neryl acetate, 3-(p-ethylphenyl)-2,2-dimethylpropionaldehyde.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melon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melon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03/08/2026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1035224-90F8-4E21-A181-CDCE8CE95218}"/>
</file>

<file path=customXml/itemProps3.xml><?xml version="1.0" encoding="utf-8"?>
<ds:datastoreItem xmlns:ds="http://schemas.openxmlformats.org/officeDocument/2006/customXml" ds:itemID="{11AFB1A6-B8C3-4AE4-A62A-CBA562FBE5A2}"/>
</file>

<file path=customXml/itemProps4.xml><?xml version="1.0" encoding="utf-8"?>
<ds:datastoreItem xmlns:ds="http://schemas.openxmlformats.org/officeDocument/2006/customXml" ds:itemID="{1733654C-7E4E-47DB-AC16-85D23AB6B08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