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maquis corse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Matière solide inflammable.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citronellol, géraniol; (2E)-3,7-diméthylocta-2,6-dién-1-ol, linalyl acetate, linalool, methyl cedryl ether, nerol, coumarin, 3-(p-ethylphenyl)-2,2-dimethylpropionaldehyde, cineole, cinnamaldehyde.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5,725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3-(p-ethylphenyl)-2,2-dimethylpropionaldehyde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67634-15-5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266-819-2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Matière solide inflammable.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Pas de flammes nues, pas d’étincelles et interdiction de fumer.</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Ramasser mécaniquement le produit. Avertir les autorités si le produit pénètre dans les égouts ou dans les eaux du domaine public.</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 Tenir à l’écart de la chaleur, des surfaces chaudes, des étincelles, des flammes nues et de toute autre source d’inflammation. Ne pas fumer. Mise à la terre/liaison équipotentielle du récipient et du matériel de réception.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Mise à la terre/liaison équipotentielle du récipient et du matériel de réception.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Tenir au frais. Protéger du rayonnement solaire. Tenir à l’écart de sources d’ignition.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herbacé. aromatique.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sidRPr="0069446B">
        <w:rPr>
          <w:noProof/>
        </w:rPr>
        <w:t>Matière solide inflammable.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Eviter le contact avec les surfaces chaudes. Chaleur. Pas de flammes, pas d’étincelles. Supprimer toute source d’ignition.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de poids corporel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maquis corse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maquis corse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3-(p-ethylphenyl)-2,2-dimethylpropionaldehyde (67634-15-5)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citronellol, géraniol; (2E)-3,7-diméthylocta-2,6-dién-1-ol, linalyl acetate, linalool, methyl cedryl ether, nerol, coumarin, 3-(p-ethylphenyl)-2,2-dimethylpropionaldehyde, cineole, cinnamaldehyde.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14/04/2026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maquis corse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maquis corse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14/04/2026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789E05E-BAEF-4356-9DC2-C2E47D2C92B7}"/>
</file>

<file path=customXml/itemProps3.xml><?xml version="1.0" encoding="utf-8"?>
<ds:datastoreItem xmlns:ds="http://schemas.openxmlformats.org/officeDocument/2006/customXml" ds:itemID="{3A01D385-37B7-4A7E-8612-D7EF4AD19E2B}"/>
</file>

<file path=customXml/itemProps4.xml><?xml version="1.0" encoding="utf-8"?>
<ds:datastoreItem xmlns:ds="http://schemas.openxmlformats.org/officeDocument/2006/customXml" ds:itemID="{5221293D-3B9E-4791-9814-7EB780BB9E71}"/>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