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maquis corse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Matière solide inflammable. 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citronellol, géraniol; (2E)-3,7-diméthylocta-2,6-dién-1-ol, linalyl acetate, linalool, methyl cedryl ether, nerol, coumarin, 3-(p-ethylphenyl)-2,2-dimethylpropionaldehyde, cineole, cinnamaldehyde.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Composant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non incluse(s) dans la liste établie conformément à l’article 59, al. 1, du règlement REACH pour avoir des propriétés perturbant le système endocrinien, ou non identifiée(s) comme ayant des propriétés perturbant le système endocrinien conformément aux critères énoncés dans le règlement délégué (UE) 2017/2100 de la Commission ou le règlement (UE) 2018/605 de la Commission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5,725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(ATE=500 mg/kg de poids corporel)</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cedryl 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19870-74-7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3-(p-ethylphenyl)-2,2-dimethylpropionaldehyde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67634-15-5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266-819-2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Acute 1, H400</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cineole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470-82-6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207-431-5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Sens. 1B, H317</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Acute 1, H400</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Matière solide inflammable.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Pas de flammes nues, pas d’étincelles et interdiction de fumer.</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Pr>
                <w:noProof/>
                <w:lang w:val="fr-BE"/>
              </w:rPr>
              <w:t>Ramasser mécaniquement le produit. Avertir les autorités si le produit pénètre dans les égouts ou dans les eaux du domaine public.</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 Tenir à l’écart de la chaleur, des surfaces chaudes, des étincelles, des flammes nues et de toute autre source d’inflammation. Ne pas fumer. Mise à la terre/liaison équipotentielle du récipient et du matériel de réception.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Mise à la terre/liaison équipotentielle du récipient et du matériel de réception.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Tenir au frais. Protéger du rayonnement solaire. Tenir à l’écart de sources d’ignition.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herbacé. aromatique.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Pas disponible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sidRPr="0069446B">
        <w:rPr>
          <w:noProof/>
        </w:rPr>
        <w:t>Matière solide inflammable.</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Eviter le contact avec les surfaces chaudes. Chaleur. Pas de flammes, pas d’étincelles. Supprimer toute source d’ignition.</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benzoate (120-51-4)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de poids corporel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de poids corporel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nerol (106-25-2)</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4500 mg/kg de poids corporel Animal: rat, Animal sex: male, Guideline: OECD Guideline 401 (Acute Oral Toxicity), 95% CL: 3400 - 5600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de poids corporel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de poids corporel Animal: rat, Guideline: other:, 95% CL: 1910 - 2600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3400 mg/kg de poids corporel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Guideline: OECD Guideline 402 (Acute Dermal Toxicity)</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de poids corporel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de poids corporel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C0"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cineole (470-82-6)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600 mg/kg de poids corporel Animal: rat, Animal sex: female, Guideline: other:, Guideline: OECD Guideline 407 (Repeated Dose 28-Day Oral Toxicity Study in Rodents), Guideline: EPA OPPTS 870.3150 (90-Day Oral Toxicity in Non-rodents)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F"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maquis corse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benzoate (120-51-4)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nerol (106-25-2)</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20,3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cineole (470-82-6)</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57 mg/l Test organisms (species): Oncorhynchus mykiss (previous name: Salmo gairdneri)</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100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74 mg/l Test organisms (species): Raphidocelis subcapitata (previous names: Pseudokirchneriella subcapitata, Selenastrum capricornutum)</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&gt; 74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maquis corse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benzoate (120-51-4)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cedryl ether (19870-74-7)</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3-(p-ethylphenyl)-2,2-dimethylpropionaldehyde (67634-15-5)</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cineole (470-82-6)</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p w:rsidR="00A65092" w:rsidRPr="0069446B" w:rsidP="00A65092" w14:paraId="1965DBDA" w14:textId="0FFE3A91">
      <w:pPr>
        <w:pStyle w:val="SDSTextNormal"/>
      </w:pPr>
      <w:r>
        <w:rPr>
          <w:noProof/>
        </w:rPr>
        <w:t>Ne contient pas de substance(s) listée(s) dans l’Annexe XVII de REACH (Conditions de restriction)</w:t>
      </w:r>
    </w:p>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cutanée),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citronellol, géraniol; (2E)-3,7-diméthylocta-2,6-dién-1-ol, linalyl acetate, linalool, methyl cedryl ether, nerol, coumarin, 3-(p-ethylphenyl)-2,2-dimethylpropionaldehyde, cineole, cinnamaldehyde.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14/04/2026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14/04/2026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maquis corse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maquis corse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14/04/2026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F001A6C4-1F9E-4AAF-980C-48F2F23E45CC}"/>
</file>

<file path=customXml/itemProps3.xml><?xml version="1.0" encoding="utf-8"?>
<ds:datastoreItem xmlns:ds="http://schemas.openxmlformats.org/officeDocument/2006/customXml" ds:itemID="{56713DA9-ED6A-4CC9-83C6-ECDB52638A9A}"/>
</file>

<file path=customXml/itemProps4.xml><?xml version="1.0" encoding="utf-8"?>
<ds:datastoreItem xmlns:ds="http://schemas.openxmlformats.org/officeDocument/2006/customXml" ds:itemID="{49DE8D97-14C7-4BD2-A739-B5B21C2217CF}"/>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