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mangue et papaye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géraniol; (2E)-3,7-diméthylocta-2,6-dién-1-ol, LIMONENE, ethyl 3-phenyloxirane-2-carboxylate, ROSE KETONE-3, CITRONELLOL,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3,0758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Verte.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mangue et papaye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mangue et papaye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géraniol; (2E)-3,7-diméthylocta-2,6-dién-1-ol, LIMONENE, ethyl 3-phenyloxirane-2-carboxylate, ROSE KETONE-3, CITRONELLOL,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mangue et papaye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mangue et papaye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04/08/2026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22067A6-DB33-4EF9-A653-24C9A296571E}"/>
</file>

<file path=customXml/itemProps3.xml><?xml version="1.0" encoding="utf-8"?>
<ds:datastoreItem xmlns:ds="http://schemas.openxmlformats.org/officeDocument/2006/customXml" ds:itemID="{226C9300-AD28-4D21-8A3E-435B1A9BB5A1}"/>
</file>

<file path=customXml/itemProps4.xml><?xml version="1.0" encoding="utf-8"?>
<ds:datastoreItem xmlns:ds="http://schemas.openxmlformats.org/officeDocument/2006/customXml" ds:itemID="{21AD4614-91EF-4964-9EBF-09DA73AAECB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