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mangue et coco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DIPHENYL ETHER, LIMONENE.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Ether diphénylique (Oxyde de biphényle)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indicatives</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Arrêté du 30 juin 2004 modifié (réf.: INRS ED 6443, 2022; Outil65; Arrête du 27 septembre 2019)</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Alimentaire. Fruitée.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de poids corporel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mangue et coco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mangue et coco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DIPHENYL ETHER, LIMONENE.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mangue et coco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mangue et coco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04/08/2026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42536A8-63E2-4A9C-BB0D-E300F21ED3AA}"/>
</file>

<file path=customXml/itemProps3.xml><?xml version="1.0" encoding="utf-8"?>
<ds:datastoreItem xmlns:ds="http://schemas.openxmlformats.org/officeDocument/2006/customXml" ds:itemID="{0CAA9D68-6767-4F16-B502-B344DAF66D6F}"/>
</file>

<file path=customXml/itemProps4.xml><?xml version="1.0" encoding="utf-8"?>
<ds:datastoreItem xmlns:ds="http://schemas.openxmlformats.org/officeDocument/2006/customXml" ds:itemID="{7E36B6A8-18E5-4BD4-8A44-909DF7F57362}"/>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