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lotus blanc et coton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p w:rsidR="00827634" w:rsidRPr="0069446B" w:rsidP="009E5102" w14:paraId="2D05B3D4" w14:textId="5E45E9EA">
      <w:pPr>
        <w:pStyle w:val="SDSTextNormal"/>
      </w:pPr>
      <w:r w:rsidRPr="0069446B">
        <w:rPr>
          <w:noProof/>
        </w:rPr>
        <w:t>Destiné au grand public</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Catégorie d’usage principal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Utilisation par les consommateurs</w:t>
            </w:r>
          </w:p>
        </w:tc>
      </w:tr>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p w:rsidR="00827634" w:rsidRPr="0069446B" w:rsidP="009E5102" w14:paraId="29F388B8" w14:textId="4336E5B9">
      <w:pPr>
        <w:pStyle w:val="SDSTextNormal"/>
        <w:rPr>
          <w:noProof/>
        </w:rPr>
      </w:pPr>
      <w:r w:rsidRPr="0069446B">
        <w:rPr>
          <w:noProof/>
        </w:rPr>
        <w:t>Non classé</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A notre connaissance, ce produit ne présente pas de risque particulier, sous réserve de respecter les règles générales d’hygiène industrielle.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P501 - Éliminer le contenu et le récipient dans un centre de tri, conformément à la réglementation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Contient TETRAHYDROLINALOOL, CINNAMAL, linalool, isoeugénol, ISOBORNEOL. Peut produire une réaction allergique.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4-tert-butylcyclohexyl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32210-23-4</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250-954-9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0,8911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203-212-3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0,7637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0,5096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3,7-dimethyloctan-3-ol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78-69-3</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201-133-9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0,3185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0,00357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cutanée), H312 (ATE=1260 mg/kg de poids corporel)</w:t>
              <w:br/>
              <w:t>Skin Irrit. 2, H315</w:t>
              <w:br/>
              <w:t>Eye Irrit. 2, H319</w:t>
              <w:br/>
              <w:t>Skin Sens. 1A, H317</w:t>
              <w:br/>
              <w:t>Aquatic Chronic 3, H412</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97-54-1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202-590-7</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604-094-00-X</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0,00189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Acute Tox. 4 (par voie cutanée), H312 (ATE=1100 mg/kg de poids corporel)</w:t>
              <w:br/>
              <w:t>Acute Tox. 4 (par inhalation), H332 (ATE=1,5 mg/l/4h)</w:t>
              <w:br/>
              <w:t>Skin Irrit. 2, H315</w:t>
              <w:br/>
              <w:t>Eye Irrit. 2, H319</w:t>
              <w:br/>
              <w:t>Skin Sens. 1A, H317</w:t>
              <w:br/>
              <w:t>STOT SE 3, H335</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Limites de concentration spécifiques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Identificateur de produit</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Limites de concentration spécifiques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N° CAS</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r w14:paraId="466CEF49"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EE762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1397868">
            <w:pPr>
              <w:pStyle w:val="SDSTableTextNormal"/>
              <w:rPr>
                <w:noProof w:val="0"/>
              </w:rPr>
            </w:pPr>
            <w:r w:rsidRPr="0069446B" w:rsidR="00FA7F7F">
              <w:rPr>
                <w:noProof/>
              </w:rPr>
              <w:t>N° CAS</w:t>
            </w:r>
            <w:r w:rsidRPr="0069446B" w:rsidR="004A0E0E">
              <w:rPr>
                <w:noProof w:val="0"/>
              </w:rPr>
              <w:t xml:space="preserve">: </w:t>
            </w:r>
            <w:r w:rsidRPr="0069446B" w:rsidR="00FA7F7F">
              <w:rPr>
                <w:noProof/>
              </w:rPr>
              <w:t>97-54-1</w:t>
            </w:r>
          </w:p>
          <w:p w:rsidR="00827634" w:rsidRPr="0069446B" w:rsidP="009B0F88" w14:textId="5CB1DBD7">
            <w:pPr>
              <w:pStyle w:val="SDSTableTextNormal"/>
              <w:rPr>
                <w:noProof w:val="0"/>
              </w:rPr>
            </w:pPr>
            <w:r w:rsidRPr="0069446B" w:rsidR="00FA7F7F">
              <w:rPr>
                <w:noProof/>
              </w:rPr>
              <w:t>N° CE</w:t>
            </w:r>
            <w:r w:rsidRPr="0069446B" w:rsidR="004A0E0E">
              <w:rPr>
                <w:noProof w:val="0"/>
              </w:rPr>
              <w:t xml:space="preserve">: </w:t>
            </w:r>
            <w:r w:rsidRPr="0069446B" w:rsidR="00FA7F7F">
              <w:rPr>
                <w:noProof/>
              </w:rPr>
              <w:t>202-590-7</w:t>
            </w:r>
          </w:p>
          <w:p w:rsidR="00827634" w:rsidRPr="0069446B" w:rsidP="009B0F88" w14:textId="719C52A6">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604-094-00-X</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Florale. Poudrée. Musc.</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anisaldehyde (123-11-5)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3210 mg/kg de poids corporel Animal: rat, Guideline: OECD Guideline 401 (Acute Oral Toxicity), 95% CL: 2755 - 3600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3,7-dimethyloctan-3-ol (78-69-3)</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8270 mg/kg de poids corporel Animal: rat</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de poids corporel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de poids corporel Animal: guinea pig,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de poids corporel Animal: rat, Guideline: OECD Guideline 402 (Acute Dermal Toxicity)</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1260 mg/kg de poids corporel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CL50 Inhalation - Rat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de poids corporel Animal: rat, Guideline: OECD Guideline 401 (Acute Oral Toxicity), 95% CL: 2440 - 3180</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3120 mg/kg de poids corporel Animal: mouse, Guideline: OECD Guideline 401 (Acute Oral Toxicity), 95% CL: 2620 - 3620</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de poids corporel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4-tert-butylcyclohexyl acetate (32210-23-4)</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300 – 2000 mg/kg de poids corporel Animal: rat, Animal sex: female, Guideline: OECD Guideline 420 (Acute Oral Toxicity - Fixed Dose Method), Guideline: EU Method B.1 bis (Acute Oral Toxicity - Fixed Dose Procedure)</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isoeugenol (97-54-1)</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Pr>
                <w:noProof/>
              </w:rPr>
              <w:t>Toxicité spécifique pour certains organes cibles (STOT) (exposition unique)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Peut irriter les voies respiratoires.</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anisaldehyde (123-11-5)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 mg/kg de poids corporel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3,7-dimethyloctan-3-ol (78-69-3)</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cinnamaldehyde (104-55-2)</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de poids corporel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lotus blanc et coton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3,7-dimethyloctan-3-ol (78-69-3)</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13,393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Ce produit n’est pas considéré comme toxique pour les organismes aquatiques et ne provoque pas d’effets néfastes à long terme dans l’environnement.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classé (Compte tenu des données disponibles, les critères de classification ne sont pas remplis)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anisaldehyde (123-11-5)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148,32 mg/l Test organisms (species): Leuciscus idus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82,8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1,53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0,71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3,7-dimethyloctan-3-ol (78-69-3)</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8,9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14,2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21,6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15,159 mg/l Test organisms (species): other: Duration: '28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4-tert-butylcyclohexyl acetate (32210-23-4)</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8,6 mg/l Test organisms (species): Cyprinus carpio</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5,3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22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Pr>
                <w:noProof/>
                <w:color w:val="auto"/>
              </w:rPr>
              <w:t>Bougie lotus blanc et coton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anisaldehyde (123-11-5)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3,7-dimethyloctan-3-ol (78-69-3)</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isoeugenol (97-54-1)</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4-tert-butylcyclohexyl acetate (32210-23-4)</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anisaldehyde ; 3,7-dimethyloctan-3-ol ; cinnamaldehyde ; linalool ; isoeugenol ; 4-tert-butylcyclohexyl acetate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anisaldehyde ; 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inhalation)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Inhalation),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cutanée)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cutanée), catégorie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orale), catégorie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pour la reproduction, catégorie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1A</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spécifique pour certains organes cibles – Exposition unique, catégorie 3, Irritation des voies respiratoires</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par contact cutané.</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par inhalation.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irriter les voies respiratoires.</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Susceptible de nuire à la fertilité ou au fœtus.</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Contient TETRAHYDROLINALOOL, CINNAMAL, linalool, isoeugénol, ISOBORNEOL. Peut produire une réaction allergique.</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23/06/2026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23/06/2026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lotus blanc et coton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lotus blanc et coton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23/06/2026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91B9B0DA-5CB8-4A97-A956-D8F425CD1A33}"/>
</file>

<file path=customXml/itemProps3.xml><?xml version="1.0" encoding="utf-8"?>
<ds:datastoreItem xmlns:ds="http://schemas.openxmlformats.org/officeDocument/2006/customXml" ds:itemID="{E281793D-D0A7-4815-9CBD-0A9B4BF69030}"/>
</file>

<file path=customXml/itemProps4.xml><?xml version="1.0" encoding="utf-8"?>
<ds:datastoreItem xmlns:ds="http://schemas.openxmlformats.org/officeDocument/2006/customXml" ds:itemID="{57813FCF-3834-4270-8068-9D4B34491196}"/>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