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lotus blanc et coton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p w:rsidR="00827634" w:rsidRPr="0069446B" w:rsidP="009E5102" w14:paraId="2D05B3D4" w14:textId="5E45E9EA">
      <w:pPr>
        <w:pStyle w:val="SDSTextNormal"/>
      </w:pPr>
      <w:r w:rsidRPr="0069446B">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par les consommateurs</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2-benzylideneheptanal; 3,7-dimethyloctan-3-ol; cinnamaldehyde; linalool; 1-(1,2,3,4,5,6,7,8-octahydro-2,3,8,8-tetramethyl-2-naphthyl)ethan-1-one; isoeugenol; 4-tert-butylcyclohexyl acetate; benzyl salicylate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P302+P352 - EN CAS DE CONTACT AVEC LA PEAU: Laver abondamment à l’eau et au savon.</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32210-23-4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1,273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0,0051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Chronic 3, H412</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voie cutanée), H312 (ATE=1100 mg/kg de poids corporel)</w:t>
              <w:br/>
              <w:t>Acute Tox. 4 (par inhalation),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Poudrée. Musc.</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de poids corporel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3,7-dimethyloctan-3-ol (78-69-3)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8270 mg/kg de poids corporel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de poids corporel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de poids corporel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de poids corporel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de poids corporel Animal: rat, Animal sex: female, Guideline: OECD Guideline 420 (Acute Oral Toxicity - Fixed Dose Method), Guideline: EU Method B.1 bis (Acute Oral Toxicity - Fixed Dose Procedure)</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3,7-dimethyloctan-3-ol (78-69-3)</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lotus blanc et coton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3,7-dimethyloctan-3-ol (78-69-3)</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Bougie lotus blanc et coton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2-benzylideneheptanal (122-40-7)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anisaldehyde ; 3,7-dimethyloctan-3-ol ; cinnamaldehyde ; linalool ; isoeugenol ; 4-tert-butylcyclohexyl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23/06/2026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23/06/2026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lotus blanc et coton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lotus blanc et coton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23/06/2026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DF04979-1F1E-41C1-8E03-E49350CBCC98}"/>
</file>

<file path=customXml/itemProps3.xml><?xml version="1.0" encoding="utf-8"?>
<ds:datastoreItem xmlns:ds="http://schemas.openxmlformats.org/officeDocument/2006/customXml" ds:itemID="{365DA887-480F-4FDE-9A91-3AE91387F5A8}"/>
</file>

<file path=customXml/itemProps4.xml><?xml version="1.0" encoding="utf-8"?>
<ds:datastoreItem xmlns:ds="http://schemas.openxmlformats.org/officeDocument/2006/customXml" ds:itemID="{342D5D16-8C4C-418C-9FF6-DD534E3B258A}"/>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