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lotus blanc et coton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2-benzylideneheptanal; 3,7-dimethyloctan-3-ol; cinnamaldehyde; 1-(1,2,3,4,5,6,7,8-octahydro-2,3,8,8-tetramethyl-2-naphthyl)ethan-1-one; 4-tert-butylcyclohexyl acetate; linalool; coumarin; isoeugenol;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Poudrée. Musc.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2-benzylideneheptanal (122-40-7)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3730 mg/kg de poids corporel Animal: rat, Guideline: OECD Guideline 401 (Acute Oral Toxicity), 95% CL: 3190 - 4370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poids corporel Animal: rat, Guideline: OECD Guideline 401 (Acute Oral Toxicity), 95% CL: 2755 - 3600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Animal sex: female,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4680 mg/kg Source: NITE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2-benzylideneheptanal (122-40-7)</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4,53 Temp.: 26,8 °C Concentration: 1 vol</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anisaldehyde (123-11-5)</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2-benzylideneheptanal (122-40-7)</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4,53 Temp.: 26,8 °C Concentration: 1 vol</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anisaldehyde (123-11-5)</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lotus blanc et coton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2-benzylideneheptanal (122-40-7)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0,91 mg/l Test organisms (species): not specified</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0,28 mg/l Test organisms (species): Daphnia sp.</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1,5 mg/l Test organisms (species): not specified</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2,3 mg/l Test organisms (species): not specified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0,041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0,549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lotus blanc et coton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4-tert-butylcyclohexyl acetate (32210-23-4)</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Coefficient de partage n-octanol/eau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4,8 Source: Pubchem</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3,7-dimethyloctan-3-ol ; cinnamaldehyde ; linalool ; isoeugenol ; 4-tert-butylcyclohexyl acetate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lotus blanc et coton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lotus blanc et coton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02/09/2026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7F4D65A-7A7D-4D9B-976A-376636DD571B}"/>
</file>

<file path=customXml/itemProps3.xml><?xml version="1.0" encoding="utf-8"?>
<ds:datastoreItem xmlns:ds="http://schemas.openxmlformats.org/officeDocument/2006/customXml" ds:itemID="{0B4F9C03-D588-41AD-89B5-8AC1461BB131}"/>
</file>

<file path=customXml/itemProps4.xml><?xml version="1.0" encoding="utf-8"?>
<ds:datastoreItem xmlns:ds="http://schemas.openxmlformats.org/officeDocument/2006/customXml" ds:itemID="{2CE96D2D-7B58-4832-B360-6B03EBBEFA7E}"/>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