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guimauve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Dangereux pour le milieu aquatique – Danger chronique, catégorie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Nocif pour les organismes aquatiques, entraîne des effets néfastes à long terme.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Nocif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P273 - Éviter le rejet dans l’environnement.</w:t>
              <w:br/>
              <w:t>P501 - Éliminer le contenu et le récipient dans un centre de tri, conformément à la réglementation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Phrases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Contient benzyl alcohol, DIMETHYLHYDROXY FURANONE. Peut produire une réaction allergique.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3,9956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(par voie orale), H302 (ATE=500 mg/kg de poids corporel)</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0,5831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(ATE=1570 mg/kg)</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4-hydroxy-2,5-dimethylfuran-2(3H)-one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3658-77-3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222-908-8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0,0294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Skin Corr. 1B, H314</w:t>
              <w:br/>
              <w:t>Eye Dam. 1, H318</w:t>
              <w:br/>
              <w:t>Skin Sens. 1A,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Laver la peau avec beaucoup d’eau.</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Aucun(es) dans des conditions normales. Les poussières peuvent occasionner une irritation dans les plis de la peau ou par contact en portant un vêtement serré.</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Ventiler la zone de déversement.</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Vanille. Gourmande. LAIT.</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benzoate (120-51-4)</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poids corporel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de poids corporel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de poids corporel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4-hydroxy-2,5-dimethylfuran-2(3H)-one (3658-77-3)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2320 mg/kg de poids corporel Animal: rat, Guideline: OECD Guideline 401 (Acute Oral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classé (Compte tenu des données disponibles, les critères de classification ne sont pas remplis)</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4-hydroxy-2,5-dimethylfuran-2(3H)-one (3658-77-3)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(animal/mâle,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1000 mg/kg de poids corporel Animal: rat, Animal sex: 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benzoate (120-51-4)</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781 mg/kg de poids corporel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de poids corporel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guimauve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Nocif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Nocif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benzoate (120-51-4)</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2,32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4-hydroxy-2,5-dimethylfuran-2(3H)-one (3658-77-3)</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194,03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guimauve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benzoate (120-51-4)</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4-hydroxy-2,5-dimethylfuran-2(3H)-one (3658-77-3)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“Écotoxique”: déchet qui présente ou peut présenter des risques immédiats ou différés pour une ou plusieurs composantes de l’environnement.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benzyl benzoate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benzyl benzoate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orale),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1, sous-catégorie 1B</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brûlures de la peau et de graves lésions des yeux.</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lésions des yeux.</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Contient benzyl alcohol, DIMETHYLHYDROXY FURANONE. Peut produire une réaction allergique.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01/10/2026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01/10/2026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guimauve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guimauve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01/10/2026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604A24B8-2DBD-45B1-8D39-52922E0EF00B}"/>
</file>

<file path=customXml/itemProps3.xml><?xml version="1.0" encoding="utf-8"?>
<ds:datastoreItem xmlns:ds="http://schemas.openxmlformats.org/officeDocument/2006/customXml" ds:itemID="{2396B624-0F91-4C3B-8FAC-BAE51C13BC19}"/>
</file>

<file path=customXml/itemProps4.xml><?xml version="1.0" encoding="utf-8"?>
<ds:datastoreItem xmlns:ds="http://schemas.openxmlformats.org/officeDocument/2006/customXml" ds:itemID="{252CD0D1-1478-4836-A749-D16321A189FC}"/>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