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gingembre et pamplemousse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LIMONENE, HEXYL CINNAMAL, 1-(1,2,3,4,5,6,7,8-octahydro-2,3,8,8-tetramethyl-2-naphthyl)ethan-1-one, benzyl salicylate.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0,3724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Hespéridée. Florale. Epicée.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de poids corporel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gingembre et pamplemousse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Crustacés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gingembre et pamplemousse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LIMONENE, HEXYL CINNAMAL, 1-(1,2,3,4,5,6,7,8-octahydro-2,3,8,8-tetramethyl-2-naphthyl)ethan-1-one, benzyl salicylate.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gingembre et pamplemousse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gingembre et pamplemousse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22/07/2026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73366CFA-BE05-434E-B123-DE5FA7A8FF14}"/>
</file>

<file path=customXml/itemProps3.xml><?xml version="1.0" encoding="utf-8"?>
<ds:datastoreItem xmlns:ds="http://schemas.openxmlformats.org/officeDocument/2006/customXml" ds:itemID="{D1FC1DDF-0B97-41C5-B27C-565EB7CBDF09}"/>
</file>

<file path=customXml/itemProps4.xml><?xml version="1.0" encoding="utf-8"?>
<ds:datastoreItem xmlns:ds="http://schemas.openxmlformats.org/officeDocument/2006/customXml" ds:itemID="{0BC97489-EC06-4A9C-B884-C671A36B2726}"/>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