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frangipanier et jasmin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linalyl acetate, Salicylate de benzyle, P-MENTHAN-7-OL, neryl acetate, citronellol, TETRAHYDROLINALOOL, cyclamen aldehyde, 1-(1,2,3,4,5,6,7,8-octahydro-2,3,8,8-tetramethyl-2-naphthyl)ethan-1-one, citral, LIMONENE.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607-754-00-5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cis-3-hexenyl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65405-77-8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265-745-8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141-12-8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205-459-2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605-019-00-3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cis-4-(isopropyl)cyclohexanemethanol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13828-37-0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237-539-8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Même si aucun danger spécifique n’est défini, les secouristes doivent porter des lunettes de protection, des gants et un demi-masque jetable. Envisager une protection supplémentaire en cas de possible exposition répétée ou prolongée.</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rosée. noix de coco. Musc.</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de poids corporel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de poids corporel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cis-3-hexenyl salicylate (65405-77-8)</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citral (5392-40-5)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6800 mg/kg de poids corporel Animal: rat</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citral (5392-40-5)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de poids corporel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de poids corporel Animal: rat, Animal sex: female, Guideline: OECD Guideline 415 [One-Generation Reproduction Toxicity Study (before 9 October 2017)]</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cis-3-hexenyl salicylate (65405-77-8)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200 mg/kg de poids corporel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citral (5392-40-5)</w:t>
            </w:r>
          </w:p>
        </w:tc>
      </w:tr>
      <w:tr w14:paraId="42A847A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F68F7FC" w14:textId="315015CF">
            <w:pPr>
              <w:pStyle w:val="SDSTableTextNormal"/>
              <w:rPr>
                <w:noProof w:val="0"/>
              </w:rPr>
            </w:pPr>
            <w:r w:rsidRPr="0069446B" w:rsidR="00FA7F7F">
              <w:rPr>
                <w:noProof/>
              </w:rPr>
              <w:t>LOAEC (inhalation, rat, gaz,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8FE6653" w14:textId="5FF84CD9">
            <w:pPr>
              <w:pStyle w:val="SDSTableTextNormal"/>
              <w:rPr>
                <w:noProof w:val="0"/>
              </w:rPr>
            </w:pPr>
            <w:r w:rsidRPr="0069446B" w:rsidR="00FA7F7F">
              <w:rPr>
                <w:noProof/>
              </w:rPr>
              <w:t>68 ppm Animal: rat, Animal sex: female</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7DB1732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12186D5" w14:textId="59F51324">
            <w:pPr>
              <w:pStyle w:val="SDSTableTextNormal"/>
              <w:rPr>
                <w:noProof w:val="0"/>
                <w:lang w:val="de-DE"/>
              </w:rPr>
            </w:pPr>
            <w:r w:rsidRPr="0069446B" w:rsidR="00FA7F7F">
              <w:rPr>
                <w:noProof/>
                <w:lang w:val="de-DE"/>
              </w:rPr>
              <w:t>NOAEC (inhalation, rat, gaz,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3E3E78EA" w14:textId="1918185F">
            <w:pPr>
              <w:pStyle w:val="SDSTableTextNormal"/>
              <w:rPr>
                <w:noProof w:val="0"/>
              </w:rPr>
            </w:pPr>
            <w:r w:rsidRPr="0069446B" w:rsidR="00FA7F7F">
              <w:rPr>
                <w:noProof/>
              </w:rPr>
              <w:t>34 ppm Animal: rat, Animal sex: female</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frangipanier et jasmin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cis-3-hexenyl salicylate (65405-77-8)</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0,65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0,61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citral (5392-40-5)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6,78 mg/l Test organisms (species): Leuciscus idus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6,8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103,8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frangipanier et jasmin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cis-4-(isopropyl)cyclohexanemethanol (13828-37-0)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neryl acetate (141-12-8)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cis-3-hexenyl salicylate (65405-77-8)</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linalyl acetate ; benzyl salicylate ; 3,7-dimethyloctan-3-ol ; cyclamen aldehyde ; citral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cyclamen 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linalyl acetate, Salicylate de benzyle, P-MENTHAN-7-OL, neryl acetate, citronellol, TETRAHYDROLINALOOL, cyclamen aldehyde, 1-(1,2,3,4,5,6,7,8-octahydro-2,3,8,8-tetramethyl-2-naphthyl)ethan-1-one, citral, LIMONENE.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22/05/2026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frangipanier et jasmin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frangipanier et jasmin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22/05/2026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15BF877-5344-4035-8DCE-78743ED1456D}"/>
</file>

<file path=customXml/itemProps3.xml><?xml version="1.0" encoding="utf-8"?>
<ds:datastoreItem xmlns:ds="http://schemas.openxmlformats.org/officeDocument/2006/customXml" ds:itemID="{3491AFA1-1FDA-442D-B536-E4619510B913}"/>
</file>

<file path=customXml/itemProps4.xml><?xml version="1.0" encoding="utf-8"?>
<ds:datastoreItem xmlns:ds="http://schemas.openxmlformats.org/officeDocument/2006/customXml" ds:itemID="{1F834DEA-C8DB-4A5C-A9AE-56A2EA8358E2}"/>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