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fraise chocolat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Sensibilisation cutanée, catégorie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sidRPr="0069446B">
        <w:rPr>
          <w:noProof/>
        </w:rPr>
        <w:t>Peut provoquer une allergie cutanée.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Pictogrammes de danger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Mention d’avertissement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Attention</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α-hexylcinnamaldehyde; coumarin; 4-tert-butylcyclohexyl acetate; ethyl 2,3-epoxy-3-phenylbutyrate; 2-Propenoic acid, 3-phenyl-, methyl ester; 4-hydroxy-2,5-dimethylfuran-2(3H)-one; (E)-1-(2,6,6-trimethyl-1,3-cyclohexadien-1-yl)-2-buten-1-one; cinnamaldehyde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sidR="00FA7F7F">
              <w:rPr>
                <w:noProof/>
              </w:rPr>
              <w:t>H317 - Peut provoquer une allergie cutanée.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P333+P313 - En cas d’irritation ou d’éruption cutanée: consulter un médecin.</w:t>
              <w:br/>
              <w:t>P501 - Éliminer le contenu et le récipient dans un centre de tri, conformément à la réglementation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2-tert-butylcyclohexyl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88-41-5</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201-828-7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4-tert-butylcyclohexyl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32210-23-4</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250-954-9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ethyl 2,3-epoxy-3-phenylbutyrate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77-83-8</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201-061-8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2, H411</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butyl lactate</w:t>
            </w:r>
          </w:p>
          <w:p w:rsidR="00827634" w:rsidRPr="0069446B" w:rsidP="009B0F88" w14:paraId="147D3D58" w14:textId="33B2CEBF">
            <w:pPr>
              <w:pStyle w:val="SDSTableTextNormal"/>
              <w:rPr>
                <w:noProof w:val="0"/>
              </w:rPr>
            </w:pPr>
            <w:r w:rsidRPr="0069446B">
              <w:rPr>
                <w:noProof/>
              </w:rPr>
              <w:t>substance possédant une/des valeurs limites d’exposition professionnelle nationales (FR)</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138-22-7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205-316-4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2-Propenoic acid, 3-phenyl-, methyl ester</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103-26-4</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203-093-8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4-hydroxy-2,5-dimethylfuran-2(3H)-one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3658-77-3</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222-908-8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Skin Corr. 1B, H314</w:t>
              <w:br/>
              <w:t>Eye Dam. 1, H318</w:t>
              <w:br/>
              <w:t>Skin Sens. 1A, H317</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(E)-1-(2,6,6-trimethyl-1,3-cyclohexadien-1-yl)-2-buten-1-one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23726-93-4</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245-844-2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inhalation), H332</w:t>
              <w:br/>
              <w:t>Skin Irrit. 2, H315</w:t>
              <w:br/>
              <w:t>Skin Sens. 1A, H317</w:t>
              <w:br/>
              <w:t>Aquatic Chronic 2, H411</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203-213-9</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cutanée), H312 (ATE=1260 mg/kg de poids corporel)</w:t>
              <w:br/>
              <w:t>Skin Irrit. 2, H315</w:t>
              <w:br/>
              <w:t>Eye Irrit. 2, H319</w:t>
              <w:br/>
              <w:t>Skin Sens. 1A, H317</w:t>
              <w:br/>
              <w:t>Aquatic Chronic 3, H412</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Limites de concentration spécifiques</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Identificateur de produit</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Limites de concentration spécifiques</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 CAS</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N° CE</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Laver la peau avec beaucoup d’eau. Enlever les vêtements contaminés. En cas d’irritation ou d’éruption cutanée: consulter un médecin.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Peut provoquer une allergie cutanée.</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Ventiler la zone de déversement. Eviter le contact avec la peau et les yeux. Éviter de respirer les poussières/fumées/gaz/brouillards/vapeurs/aérosols.</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Eviter le contact avec la peau et les yeux. Éviter de respirer les poussières/fumées/gaz/brouillards/vapeurs/aérosols.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Les vêtements de travail contaminés ne devraient pas sortir du lieu de travail. Laver les vêtements contaminés avant réutilisation. 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B077C8" w:rsidRPr="0069446B" w:rsidP="00B077C8" w14:paraId="76C830A6" w14:textId="7C05BC4C">
      <w:pPr>
        <w:pStyle w:val="SDSTextHeading3"/>
        <w:rPr>
          <w:noProof w:val="0"/>
          <w:color w:val="auto"/>
          <w:lang w:val="en-US"/>
        </w:rPr>
      </w:pPr>
      <w:r w:rsidRPr="0069446B">
        <w:rPr>
          <w:noProof/>
          <w:color w:val="auto"/>
          <w:lang w:val="en-US"/>
        </w:rPr>
        <w:t>Valeurs limites nationales d’exposition professionnelle et biologiques</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butyl lactate</w:t>
            </w:r>
            <w:r w:rsidRPr="0069446B">
              <w:rPr>
                <w:noProof w:val="0"/>
                <w:color w:val="auto"/>
              </w:rPr>
              <w:t xml:space="preserve"> </w:t>
            </w:r>
            <w:r w:rsidRPr="0069446B" w:rsidR="00FD53E4">
              <w:rPr>
                <w:noProof/>
                <w:color w:val="auto"/>
              </w:rPr>
              <w:t>(138-22-7)</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France - Valeurs Limites d’exposition professionnelle</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Nom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Lactate de n-butyle</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VLEP 8h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25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VLEP 8h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Remarque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Valeurs recommandées/admises</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Référence réglementaire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Circulaire du Ministère du travail (réf.: INRS ED 6443, 2022; Outil65)</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0B61D5" w:rsidRPr="0069446B" w:rsidP="000B61D5" w14:paraId="135F4718" w14:textId="7F15A692">
      <w:pPr>
        <w:pStyle w:val="SDSTextHeading3"/>
        <w:rPr>
          <w:noProof w:val="0"/>
          <w:color w:val="auto"/>
          <w:lang w:val="en-US"/>
        </w:rPr>
      </w:pPr>
      <w:r w:rsidRPr="0069446B" w:rsidR="00FA7F7F">
        <w:rPr>
          <w:noProof/>
          <w:color w:val="auto"/>
          <w:lang w:val="en-US"/>
        </w:rPr>
        <w:t>Équipements de protection individuelle</w:t>
      </w:r>
    </w:p>
    <w:p w:rsidR="00404CA3" w:rsidRPr="0069446B" w:rsidP="00404CA3" w14:paraId="410C6189" w14:textId="4546F574">
      <w:pPr>
        <w:pStyle w:val="SDSTextHeading4"/>
        <w:rPr>
          <w:noProof w:val="0"/>
          <w:color w:val="auto"/>
          <w:lang w:val="en-US"/>
        </w:rPr>
      </w:pPr>
      <w:r w:rsidRPr="0069446B" w:rsidR="00FA7F7F">
        <w:rPr>
          <w:noProof/>
          <w:color w:val="auto"/>
          <w:lang w:val="en-US"/>
        </w:rPr>
        <w:t>Protection respiratoire</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D853C22" w14:textId="3DF0917D">
            <w:pPr>
              <w:pStyle w:val="SDSTableTextBold"/>
              <w:rPr>
                <w:noProof w:val="0"/>
              </w:rPr>
            </w:pPr>
            <w:r w:rsidRPr="0069446B" w:rsidR="00FA7F7F">
              <w:rPr>
                <w:noProof/>
              </w:rPr>
              <w:t>Protection respiratoire</w:t>
            </w:r>
            <w:r w:rsidRPr="0069446B">
              <w:rPr>
                <w:noProof w:val="0"/>
              </w:rPr>
              <w:t>:</w:t>
            </w:r>
          </w:p>
        </w:tc>
      </w:tr>
      <w:tr w14:paraId="5B2B50C1"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55AFFA8A" w14:textId="04842D14">
            <w:pPr>
              <w:pStyle w:val="SDSTableTextNormal"/>
              <w:rPr>
                <w:noProof w:val="0"/>
              </w:rPr>
            </w:pPr>
            <w:r w:rsidRPr="0069446B">
              <w:rPr>
                <w:noProof/>
              </w:rPr>
              <w:t>En cas de ventilation insuffisante, porter un appareil respiratoire approprié</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Gourmande. Fruits rouges. chocolat.</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coumarin (91-64-5)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293 mg/kg de poids corporel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de poids corporel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4-tert-butylcyclohexyl acetate (32210-23-4)</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300 – 2000 mg/kg de poids corporel Animal: rat, Animal sex: female, Guideline: OECD Guideline 420 (Acute Oral Toxicity - Fixed Dose Method), Guideline: EU Method B.1 bis (Acute Oral Toxicity - Fixed Dose Procedure)</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ethyl 2,3-epoxy-3-phenylbutyrate (77-83-8)</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poids corporel Animal: rat, Guideline: OECD Guideline 402 (Acute Dermal Toxicity), Guideline: EU Method B.3 (Acute Toxicity (Dermal))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2-Propenoic acid, 3-phenyl-, methyl ester (103-26-4)</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2610 mg/kg de poids corporel Animal: rat, Guideline: OECD Guideline 401 (Acute Oral Toxicity), 95% CL: 2000 - 3410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de poids corporel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de poids corporel Animal: rat, Guideline: other:, 95% CL: 1910 - 2600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3400 mg/kg de poids corporel Animal: guinea pig, Guideline: other:</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poids corporel Animal: rat, Guideline: OECD Guideline 402 (Acute Dermal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de poids corporel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CL50 Inhalation - Rat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2-Propenoic acid, 3-phenyl-, methyl ester (103-26-4)</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4,6 Temp.: 20 °C Concentration: 299 mg</w:t>
            </w:r>
            <w:r w:rsidRPr="0069446B">
              <w:rPr>
                <w:rFonts w:hint="eastAsia"/>
                <w:noProof/>
                <w:lang w:eastAsia="ja-JP"/>
              </w:rPr>
              <w:t>/L</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2-Propenoic acid, 3-phenyl-, methyl ester (103-26-4)</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4,6 Temp.: 20 °C Concentration: 299 mg</w:t>
            </w:r>
            <w:r w:rsidRPr="0069446B">
              <w:rPr>
                <w:rFonts w:hint="eastAsia"/>
                <w:noProof/>
                <w:lang w:eastAsia="ja-JP"/>
              </w:rPr>
              <w:t>/L</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Peut provoquer une allergie cutanée.</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de poids corporel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(subchronique, oral, animal/femelle,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de poids corporel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ethyl 2,3-epoxy-3-phenylbutyrate (77-83-8)</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sidR="00FA7F7F">
              <w:rPr>
                <w:noProof/>
                <w:lang w:val="fr-BE"/>
              </w:rPr>
              <w:t>500 mg/kg de poids corporel Animal: rat</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&gt; 1000 mg/kg de poids corporel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de poids corporel Animal: rat, Guideline: OECD Guideline 407 (Repeated Dose 28-Day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fraise chocolat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Informations sur les autres dangers</w:t>
      </w:r>
      <w:bookmarkEnd w:id="3"/>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Ce produit n’est pas considéré comme toxique pour les organismes aquatiques et ne provoque pas d’effets néfastes à long terme dans l’environnement.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classé (Compte tenu des données disponibles, les critères de classification ne sont pas remplis)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coumarin (91-64-5)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4-tert-butylcyclohexyl acetate (32210-23-4)</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8,6 mg/l Test organisms (species): Cyprinus carpio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5,3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22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ethyl 2,3-epoxy-3-phenylbutyrate (77-83-8)</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4,2 mg/l Test organisms (species): Oncorhynchus mykiss (previous name: Salmo gairdneri)</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52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36 mg/l Test organisms (species): Raphidocelis subcapitata (previous names: Pseudokirchneriella subcapitata, Selenastrum capricornutum)</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42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2-Propenoic acid, 3-phenyl-, methyl ester (103-26-4)</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2,76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24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7,6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15,159 mg/l Test organisms (species): other: Duration: '28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fraise chocolat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2-tert-butylcyclohexyl acetate (88-41-5)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4-tert-butylcyclohexyl acetate (32210-23-4)</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ethyl 2,3-epoxy-3-phenylbutyrate (77-83-8)</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2-Propenoic acid, 3-phenyl-, methyl ester (103-26-4)</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4-hydroxy-2,5-dimethylfuran-2(3H)-one (3658-77-3)</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(E)-1-(2,6,6-trimethyl-1,3-cyclohexadien-1-yl)-2-buten-1-one (23726-93-4)</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butyl lactate (138-22-7)</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4"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4-tert-butylcyclohexyl acetate ; ethyl 2,3-epoxy-3-phenylbutyrate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ethyl 2,3-epoxy-3-phenylbutyrate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Directives nationales</w:t>
      </w:r>
    </w:p>
    <w:tbl>
      <w:tblPr>
        <w:tblStyle w:val="SDSTableWithoutBorders"/>
        <w:tblW w:w="10491" w:type="dxa"/>
        <w:tblLayout w:type="fixed"/>
        <w:tblLook w:val="04A0"/>
      </w:tblPr>
      <w:tblGrid>
        <w:gridCol w:w="10491"/>
      </w:tblGrid>
      <w:tr w14:paraId="5124EAC9" w14:textId="77777777" w:rsidTr="00CE2D83">
        <w:tblPrEx>
          <w:tblW w:w="10491" w:type="dxa"/>
          <w:tblLayout w:type="fixed"/>
          <w:tblLook w:val="04A0"/>
        </w:tblPrEx>
        <w:trPr>
          <w:trHeight w:val="20"/>
        </w:trPr>
        <w:tc>
          <w:tcPr>
            <w:tcW w:w="10491" w:type="dxa"/>
            <w:tcBorders>
              <w:top w:val="none" w:sz="0" w:space="0" w:color="000000"/>
              <w:left w:val="none" w:sz="0" w:space="0" w:color="000000"/>
              <w:bottom w:val="none" w:sz="0" w:space="0" w:color="000000"/>
              <w:right w:val="none" w:sz="0" w:space="0" w:color="000000"/>
            </w:tcBorders>
          </w:tcPr>
          <w:p w:rsidR="00F430DC" w:rsidRPr="0069446B" w:rsidP="005C557D" w14:paraId="5F4E1267" w14:textId="396498DA">
            <w:pPr>
              <w:pStyle w:val="SDSTextHeading4"/>
              <w:rPr>
                <w:color w:val="auto"/>
              </w:rPr>
            </w:pPr>
            <w:r w:rsidRPr="0069446B">
              <w:rPr>
                <w:color w:val="auto"/>
              </w:rPr>
              <w:t>Finlande</w:t>
            </w:r>
          </w:p>
        </w:tc>
      </w:tr>
      <w:tr w14:paraId="4EB0E7BB" w14:textId="77777777" w:rsidTr="00CE2D83">
        <w:tblPrEx>
          <w:tblW w:w="10491" w:type="dxa"/>
          <w:tblLayout w:type="fixed"/>
          <w:tblLook w:val="04A0"/>
        </w:tblPrEx>
        <w:trPr>
          <w:trHeight w:val="20"/>
        </w:trPr>
        <w:tc>
          <w:tcPr>
            <w:tcW w:w="10491" w:type="dxa"/>
            <w:tcBorders>
              <w:top w:val="none" w:sz="0" w:space="0" w:color="000000"/>
              <w:left w:val="none" w:sz="0" w:space="0" w:color="000000"/>
              <w:bottom w:val="none" w:sz="0" w:space="0" w:color="000000"/>
              <w:right w:val="none" w:sz="0" w:space="0" w:color="000000"/>
            </w:tcBorders>
          </w:tcPr>
          <w:p w:rsidR="00F430DC" w:rsidRPr="0069446B" w:rsidP="005C557D" w14:paraId="1DA7F00D" w14:textId="0E094761">
            <w:pPr>
              <w:pStyle w:val="SDSTextHeading4"/>
              <w:rPr>
                <w:color w:val="auto"/>
              </w:rPr>
            </w:pPr>
            <w:r w:rsidRPr="0069446B" w:rsidR="00FA7F7F">
              <w:rPr>
                <w:noProof/>
                <w:color w:val="auto"/>
              </w:rPr>
              <w:t>France</w:t>
            </w:r>
          </w:p>
        </w:tc>
      </w:tr>
      <w:tr w14:paraId="584C76DD" w14:textId="77777777" w:rsidTr="00CE2D83">
        <w:tblPrEx>
          <w:tblW w:w="10491" w:type="dxa"/>
          <w:tblLayout w:type="fixed"/>
          <w:tblLook w:val="04A0"/>
        </w:tblPrEx>
        <w:trPr>
          <w:cantSplit w:val="0"/>
          <w:trHeight w:val="20"/>
        </w:trPr>
        <w:tc>
          <w:tcPr>
            <w:tcW w:w="10491" w:type="dxa"/>
            <w:tcBorders>
              <w:top w:val="none" w:sz="0" w:space="0" w:color="000000"/>
              <w:left w:val="none" w:sz="0" w:space="0" w:color="000000"/>
              <w:bottom w:val="none" w:sz="0" w:space="0" w:color="000000"/>
              <w:right w:val="none" w:sz="0" w:space="0" w:color="000000"/>
            </w:tcBorders>
          </w:tcPr>
          <w:tbl>
            <w:tblPr>
              <w:tblStyle w:val="SDSTableWithBordersWithHeaderRow"/>
              <w:tblW w:w="10477" w:type="dxa"/>
              <w:tblLayout w:type="fixed"/>
              <w:tblLook w:val="04A0"/>
            </w:tblPr>
            <w:tblGrid>
              <w:gridCol w:w="1981"/>
              <w:gridCol w:w="8496"/>
            </w:tblGrid>
            <w:tr w14:paraId="1ECC5E7E" w14:textId="77777777" w:rsidTr="00CE2D83">
              <w:tblPrEx>
                <w:tblW w:w="10477" w:type="dxa"/>
                <w:tblLayout w:type="fixed"/>
                <w:tblLook w:val="04A0"/>
              </w:tblPrEx>
              <w:trPr>
                <w:trHeight w:val="20"/>
                <w:tblHeader/>
              </w:trPr>
              <w:tc>
                <w:tcPr>
                  <w:tcW w:w="10477"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F430DC" w:rsidRPr="0069446B" w:rsidP="00515A19" w14:paraId="3893F28A" w14:textId="29FBBBED">
                  <w:pPr>
                    <w:pStyle w:val="SDSTableTextBold"/>
                    <w:keepNext w:val="0"/>
                  </w:pPr>
                  <w:r w:rsidRPr="0069446B" w:rsidR="00290951">
                    <w:t>Maladies professionnelles</w:t>
                  </w:r>
                </w:p>
              </w:tc>
            </w:tr>
            <w:tr w14:paraId="6BEF88BE" w14:textId="77777777" w:rsidTr="00CE2D83">
              <w:tblPrEx>
                <w:tblW w:w="10477" w:type="dxa"/>
                <w:tblLayout w:type="fixed"/>
                <w:tblLook w:val="04A0"/>
              </w:tblPrEx>
              <w:trPr>
                <w:trHeight w:val="20"/>
                <w:tblHeader/>
              </w:trPr>
              <w:tc>
                <w:tcPr>
                  <w:tcW w:w="198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F430DC" w:rsidRPr="0069446B" w:rsidP="005C557D" w14:paraId="2151D0C1" w14:textId="13782F1F">
                  <w:pPr>
                    <w:pStyle w:val="SDSTableTextNormal"/>
                  </w:pPr>
                  <w:r w:rsidRPr="0069446B" w:rsidR="00290951">
                    <w:t>Code</w:t>
                  </w:r>
                </w:p>
              </w:tc>
              <w:tc>
                <w:tcPr>
                  <w:tcW w:w="849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F430DC" w:rsidRPr="0069446B" w:rsidP="005C557D" w14:paraId="5AC252CE" w14:textId="5E703CA3">
                  <w:pPr>
                    <w:pStyle w:val="SDSTableTextNormal"/>
                  </w:pPr>
                  <w:r w:rsidRPr="0069446B">
                    <w:rPr>
                      <w:noProof/>
                    </w:rPr>
                    <w:t>Description</w:t>
                  </w:r>
                </w:p>
              </w:tc>
            </w:tr>
            <w:tr w14:paraId="6BB13145" w14:textId="77777777" w:rsidTr="00CE2D83">
              <w:tblPrEx>
                <w:tblW w:w="10477" w:type="dxa"/>
                <w:tblLayout w:type="fixed"/>
                <w:tblLook w:val="04A0"/>
              </w:tblPrEx>
              <w:trPr>
                <w:trHeight w:val="676"/>
              </w:trPr>
              <w:tc>
                <w:tcPr>
                  <w:tcW w:w="198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F430DC" w:rsidRPr="0069446B" w:rsidP="005C557D" w14:paraId="5F5DCE0B" w14:textId="534EAEAF">
                  <w:pPr>
                    <w:pStyle w:val="SDSTableTextNormal"/>
                    <w:rPr>
                      <w:noProof w:val="0"/>
                    </w:rPr>
                  </w:pPr>
                  <w:r w:rsidRPr="0069446B" w:rsidR="00FA7F7F">
                    <w:rPr>
                      <w:noProof/>
                    </w:rPr>
                    <w:t>RG 84</w:t>
                  </w:r>
                </w:p>
              </w:tc>
              <w:tc>
                <w:tcPr>
                  <w:tcW w:w="849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F430DC" w:rsidRPr="0069446B" w:rsidP="005C557D" w14:paraId="2CB660ED" w14:textId="088BFBA8">
                  <w:pPr>
                    <w:pStyle w:val="SDSTableTextNormal"/>
                    <w:rPr>
                      <w:noProof w:val="0"/>
                    </w:rPr>
                  </w:pPr>
                  <w:r w:rsidRPr="0069446B">
                    <w:rPr>
                      <w:noProof/>
                    </w:rPr>
                    <w:t>Affections engendrées par les solvants organiques liquides à usage professionnel : hydrocarbures liquides aliphatiques ou cycliques saturés ou insaturés et leurs mélanges ; hydrocarbures halogénés liquides ; dérivés nitrés des hydrocarbures aliphatiques ; alcools ; glycols, éthers de glycol ; cétones ; aldéhydes ; éthers aliphatiques et cycliques, dont le tétrahydrofurane ; esters ; diméthylformamide et dimétylacétamine ; acétonitrile et propionitrile ; pyridine ; diméthylsulfone et diméthylsulfoxyde</w:t>
                  </w:r>
                </w:p>
              </w:tc>
            </w:tr>
          </w:tbl>
          <w:p w:rsidR="00F430DC" w:rsidRPr="0069446B" w:rsidP="005C557D" w14:paraId="07BC27B8" w14:textId="77777777">
            <w:pPr>
              <w:pStyle w:val="SDSTableTextNormal"/>
            </w:pP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inhalation)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Inhalation),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(par voie cutanée)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aiguë (par voie cutanée), catégorie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(par voie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aiguë (par voie orale), catégorie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aigu, catégorie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Corr.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1, sous-catégorie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1A</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en cas d’ingestion.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par contact cutané.</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de graves brûlures de la peau et de graves lésions des yeux.</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de graves lésions des yeux.</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par inhalation.</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pour les organismes aquatiques, entraîne des effets néfastes à long terme.</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15/05/2026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15/05/2026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fraise chocolat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fraise chocolat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15/05/2026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7AA59FCE-20A5-428A-9158-9589E5E0B401}"/>
</file>

<file path=customXml/itemProps3.xml><?xml version="1.0" encoding="utf-8"?>
<ds:datastoreItem xmlns:ds="http://schemas.openxmlformats.org/officeDocument/2006/customXml" ds:itemID="{717E3743-7F80-463F-856B-55315A5F4B4A}"/>
</file>

<file path=customXml/itemProps4.xml><?xml version="1.0" encoding="utf-8"?>
<ds:datastoreItem xmlns:ds="http://schemas.openxmlformats.org/officeDocument/2006/customXml" ds:itemID="{39EF462B-538E-494F-BA76-3FFE9E009E76}"/>
</file>

<file path=docProps/app.xml><?xml version="1.0" encoding="utf-8"?>
<Properties xmlns="http://schemas.openxmlformats.org/officeDocument/2006/extended-properties" xmlns:vt="http://schemas.openxmlformats.org/officeDocument/2006/docPropsVTypes">
  <Template>Normal</Template>
  <TotalTime>219</TotalTime>
  <Pages>14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