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fraise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METHYL CINNAMATE, ETHYL 3-PHENYLGLYCIDATE.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2-Propenoic acid, 3-phenyl-, methyl ester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103-26-4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203-093-8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Alimentaire. Fruits rouges. 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2-Propenoic acid, 3-phenyl-, methyl ester (103-26-4)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2610 mg/kg de poids corporel Animal: rat, Guideline: OECD Guideline 401 (Acute Oral Toxicity), 95% CL: 2000 - 3410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de poids corporel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2-Propenoic acid, 3-phenyl-, methyl ester (103-26-4)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2-Propenoic acid, 3-phenyl-, methyl ester (103-26-4)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4,6 Temp.: 20 °C Concentration: 299 mg</w:t>
            </w:r>
            <w:r w:rsidRPr="0069446B">
              <w:rPr>
                <w:rFonts w:hint="eastAsia"/>
                <w:noProof/>
                <w:lang w:eastAsia="ja-JP"/>
              </w:rPr>
              <w:t>/L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fraise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2-Propenoic acid, 3-phenyl-, methyl ester (103-26-4)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2,76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CE50 - Autres organismes aquatiques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fraise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2-Propenoic acid, 3-phenyl-, methyl ester (103-26-4)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ethyl 3-phenyloxirane-2-carboxylate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chronique, catégorie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METHYL CINNAMATE, ETHYL 3-PHENYLGLYCIDATE.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fraise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fraise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1BD2BD8-69E6-485B-B936-4B259725CB7F}"/>
</file>

<file path=customXml/itemProps3.xml><?xml version="1.0" encoding="utf-8"?>
<ds:datastoreItem xmlns:ds="http://schemas.openxmlformats.org/officeDocument/2006/customXml" ds:itemID="{F5C24356-30CB-4CF1-B2F4-DA4114295962}"/>
</file>

<file path=customXml/itemProps4.xml><?xml version="1.0" encoding="utf-8"?>
<ds:datastoreItem xmlns:ds="http://schemas.openxmlformats.org/officeDocument/2006/customXml" ds:itemID="{B22E89DA-C39E-4B82-86D6-616067767CA2}"/>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