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des îles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contenu/récipient dans ... (... conformément à la réglementation locale/régionale/nationale ou</w:t>
              <w:br/>
              <w:t>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Musc. Vanille.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1,062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des îles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des îles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(1-(1,2,3,4,5,6,7,8-octahydro-2,3,8,8-tetramethyl-2-(1-(1,2,3,4,5,6,7,8-octahydro-2,3,8,8-tetramethyl-2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(1-(1,2,3,4,5,6,7,8-octahydro-2,3,8,8-tetramethyl-2-(1-(1,2,3,4,5,6,7,8-octahydro-2,3,8,8-tetramethyl-2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(1-(1,2,3,4,5,6,7,8-octahydro-2,3,8,8-tetramethyl-2-(1-(1,2,3,4,5,6,7,8-octahydro-2,3,8,8-tetramethyl-2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(1-(1,2,3,4,5,6,7,8-octahydro-2,3,8,8-tetramethyl-2-(1-(1,2,3,4,5,6,7,8-octahydro-2,3,8,8-tetramethyl-2</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(1-(1,2,3,4,5,6,7,8-octahydro-2,3,8,8-tetramethyl-2-(1-(1,2,3,4,5,6,7,8-octahydro-2,3,8,8-tetramethyl-2,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(1-(1,2,3,4,5,6,7,8-octahydro-2,3,8,8-tetramethyl-2-(1-(1,2,3,4,5,6,7,8-octahydro-2,3,8,8-tetramethyl-2,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(1-(1,2,3,4,5,6,7,8-octahydro-2,3,8,8-tetramethyl-2-(1-(1,2,3,4,5,6,7,8-octahydro-2,3,8,8-tetramethyl-2,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(1-(1,2,3,4,5,6,7,8-octahydro-2,3,8,8-tetramethyl-2-(1-(1,2,3,4,5,6,7,8-octahydro-2,3,8,8-tetramethyl-2,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des îles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des îles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23/04/2026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11E9F6F-8BCA-458C-943A-7ECEC4FB3E9C}"/>
</file>

<file path=customXml/itemProps3.xml><?xml version="1.0" encoding="utf-8"?>
<ds:datastoreItem xmlns:ds="http://schemas.openxmlformats.org/officeDocument/2006/customXml" ds:itemID="{50956670-EB85-45B4-BD59-575CC74703B0}"/>
</file>

<file path=customXml/itemProps4.xml><?xml version="1.0" encoding="utf-8"?>
<ds:datastoreItem xmlns:ds="http://schemas.openxmlformats.org/officeDocument/2006/customXml" ds:itemID="{CA7C2C67-C804-43AF-AD2E-0E23DBE62F45}"/>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