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fleur des îles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 Word</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Sensibilisation cutanée, catégorie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Dangereux pour le milieu aquatique – Danger chronique, catégorie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Pr>
          <w:noProof/>
        </w:rPr>
        <w:t>Peut provoquer une allergie cutanée. Nocif pour les organismes aquatiques, entraîne des effets néfastes à long terme.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(E)-1-(2,6,6-trimethyl-1,3-cyclohexadien-1-yl)-2-buten-1-one; 1-(1,2,3,4,5,6,7,8-octahydro-2,3,8,8-tetramethyl-2-naphthyl)ethan-1-one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Peut provoquer une allergie cutanée.</w:t>
              <w:br/>
              <w:t>H412 - Nocif pour les organismes aquatiques, entraîne des effets néfastes à long terme.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P273 - Éviter le rejet dans l’environnement.</w:t>
              <w:br/>
              <w:t>P302+P352 - EN CAS DE CONTACT AVEC LA PEAU: laver abondamment à l’eau et au savon.</w:t>
              <w:br/>
              <w:t>P333+P313 - En cas d’irritation ou d’éruption cutanée: consulter un médecin.</w:t>
              <w:br/>
              <w:t>P501 - Éliminer le contenu/récipient dans un centre de tri, conformément à la réglementation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vanillin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121-33-5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204-465-2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(E)-1-(2,6,6-trimethyl-1,3-cyclohexadien-1-yl)-2-buten-1-one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23726-93-4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245-844-2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inhalation), H332 (ATE=1,5 mg/l/4h)</w:t>
              <w:br/>
              <w:t>Skin Irrit. 2, H315</w:t>
              <w:br/>
              <w:t>Skin Sens. 1A, H317</w:t>
              <w:br/>
              <w:t>Aquatic Chronic 2, H411</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Laver la peau avec beaucoup d’eau. Enlever les vêtements contaminés. En cas d’irritation ou d’éruption cutanée: consulter un médecin.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Peut provoquer une allergie cutanée.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Eviter le contact avec la peau et les yeux. Éviter de respirer les poussières/fumées/gaz/brouillards/vapeurs/aérosols.</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Eviter le contact avec la peau et les yeux. Éviter de respirer les poussières/fumées/gaz/brouillards/vapeurs/aérosols.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Les vêtements de travail contaminés ne devraient pas sortir du lieu de travail. Laver les vêtements contaminés avant réutilisation. 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Musc. Vanille. Poudrée.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vanillin (121-33-5)</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poids corporel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(E)-1-(2,6,6-trimethyl-1,3-cyclohexadien-1-yl)-2-buten-1-one (23726-93-4)</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de poids corporel Animal: rat, Guideline: EU Method B.1 (Acute Toxicity (Oral))</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Peut provoquer une allergie cutanée.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(E)-1-(2,6,6-trimethyl-1,3-cyclohexadien-1-yl)-2-buten-1-one (23726-93-4)</w:t>
            </w:r>
          </w:p>
        </w:tc>
      </w:tr>
      <w:tr w14:paraId="17BB36C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5D6E007" w14:textId="362312DE">
            <w:pPr>
              <w:pStyle w:val="SDSTableTextNormal"/>
              <w:rPr>
                <w:noProof w:val="0"/>
              </w:rPr>
            </w:pPr>
            <w:r w:rsidRPr="0069446B" w:rsidR="00FA7F7F">
              <w:rPr>
                <w:noProof/>
              </w:rPr>
              <w:t>LOAEL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F5D4209" w14:textId="4442B51B">
            <w:pPr>
              <w:pStyle w:val="SDSTableTextNormal"/>
              <w:rPr>
                <w:noProof w:val="0"/>
                <w:lang w:val="fr-BE"/>
              </w:rPr>
            </w:pPr>
            <w:r w:rsidRPr="0069446B">
              <w:rPr>
                <w:noProof/>
                <w:lang w:val="fr-BE"/>
              </w:rPr>
              <w:t>500 mg/kg de poids corporel Animal: rat, Guideline: OECD Guideline 408 (Repeated Dose 90-Day Oral Toxicity Study in Rodents)</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30 mg/kg de poids corporel Animal: rat, Animal sex: male,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fleur des îles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Nocif pour les organismes aquatiques, entraîne des effets néfastes à long terme.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Nocif pour les organismes aquatiques, entraîne des effets néfastes à long terme.</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vanillin (121-33-5)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57 mg/l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Poisson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123 mg/l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36,79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120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10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5,9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(E)-1-(2,6,6-trimethyl-1,3-cyclohexadien-1-yl)-2-buten-1-one (23726-93-4)</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sp.</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8,3 mg/l Test organisms (species): other:</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fleur des îles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vanillin (121-33-5)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(E)-1-(2,6,6-trimethyl-1,3-cyclohexadien-1-yl)-2-buten-1-one (23726-93-4)</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facilement biodégradable.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“Écotoxique”: déchet qui présente ou peut présenter des risques immédiats ou différés pour une ou plusieurs composantes de l’environnement.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UN 3082</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UN 3082</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UN 3082</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UN 3082</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UN 3082</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Pr>
                <w:noProof/>
              </w:rPr>
              <w:t>MATIÈRE DANGEREUSE DU POINT DE VUE DE L'ENVIRONNEMENT, LIQUIDE, N.S.A. (1-(1,2,3,4,5,6,7,8-octahydro-2,3,8,8-tetramethyl-2-naphthalenyl)ethanone)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Pr>
                <w:noProof/>
              </w:rPr>
              <w:t>MATIÈRE DANGEREUSE DU POINT DE VUE DE L'ENVIRONNEMENT, LIQUIDE, N.S.A. (1-(1,2,3,4,5,6,7,8-octahydro-2,3,8,8-tetramethyl-2-naphthalenyl)ethanone)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Pr>
                <w:noProof/>
              </w:rPr>
              <w:t>Environmentally hazardous substance, liquid,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Pr>
                <w:noProof/>
              </w:rPr>
              <w:t>MATIÈRE DANGEREUSE DU POINT DE VUE DE L'ENVIRONNEMENT, LIQUIDE, N.S.A. (1-(1,2,3,4,5,6,7,8-octahydro-2,3,8,8-tetramethyl-2-naphthalenyl)ethanone)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Pr>
                <w:noProof/>
              </w:rPr>
              <w:t>MATIÈRE DANGEREUSE DU POINT DE VUE DE L'ENVIRONNEMENT, LIQUIDE, N.S.A. (1-(1,2,3,4,5,6,7,8-octahydro-2,3,8,8-tetramethyl-2-naphthalenyl)ethanone)</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sidR="00FA7F7F">
              <w:rPr>
                <w:noProof/>
                <w:color w:val="auto"/>
              </w:rPr>
              <w:t>Description document de transport</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3082 MATIÈRE DANGEREUSE DU POINT DE VUE DE L'ENVIRONNEMENT, LIQUIDE, N.S.A. (1-(1,2,3,4,5,6,7,8-octahydro-2,3,8,8-tetramethyl-2-naphthalenyl)ethanone), 9, III, (-)</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3082 MATIÈRE DANGEREUSE DU POINT DE VUE DE L'ENVIRONNEMENT, LIQUIDE, N.S.A. (1-(1,2,3,4,5,6,7,8-octahydro-2,3,8,8-tetramethyl-2-naphthalenyl)ethanone),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Pr>
                <w:noProof/>
              </w:rPr>
              <w:t>UN 3082 Environmentally hazardous substance, liquid,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3082 MATIÈRE DANGEREUSE DU POINT DE VUE DE L'ENVIRONNEMENT, LIQUIDE, N.S.A. (1-(1,2,3,4,5,6,7,8-octahydro-2,3,8,8-tetramethyl-2-naphthalenyl)ethanone),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3082 MATIÈRE DANGEREUSE DU POINT DE VUE DE L'ENVIRONNEMENT, LIQUIDE, N.S.A. (1-(1,2,3,4,5,6,7,8-octahydro-2,3,8,8-tetramethyl-2-naphthalenyl)ethanone), 9,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9</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03"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05"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7"/>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07"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7"/>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09"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7"/>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11"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7"/>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Non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Non</w:t>
            </w:r>
          </w:p>
          <w:p w:rsidR="00E5555B" w:rsidRPr="0069446B" w:rsidP="00CB352E" w14:paraId="59B4C75B" w14:textId="3A38D38E">
            <w:pPr>
              <w:pStyle w:val="SDSTableTextCentered"/>
              <w:rPr>
                <w:noProof w:val="0"/>
              </w:rPr>
            </w:pPr>
            <w:r w:rsidRPr="0069446B" w:rsidR="00FA7F7F">
              <w:rPr>
                <w:noProof/>
              </w:rPr>
              <w:t>Polluant marin</w:t>
            </w:r>
            <w:r w:rsidRPr="0069446B">
              <w:rPr>
                <w:noProof w:val="0"/>
              </w:rPr>
              <w:t xml:space="preserve">: </w:t>
            </w:r>
            <w:r w:rsidRPr="0069446B" w:rsidR="00FA7F7F">
              <w:rPr>
                <w:noProof/>
              </w:rPr>
              <w:t>Non</w:t>
            </w:r>
          </w:p>
          <w:p w:rsidR="00C93EB0" w:rsidRPr="0069446B" w:rsidP="00C93EB0" w14:paraId="3E1963A9" w14:textId="2D18F11C">
            <w:pPr>
              <w:pStyle w:val="SDSTableTextCentered"/>
              <w:rPr>
                <w:noProof w:val="0"/>
              </w:rPr>
            </w:pPr>
            <w:r w:rsidRPr="0069446B" w:rsidR="00FA7F7F">
              <w:rPr>
                <w:noProof/>
              </w:rPr>
              <w:t>N° FS (Feu)</w:t>
            </w:r>
            <w:r w:rsidRPr="0069446B">
              <w:rPr>
                <w:noProof w:val="0"/>
              </w:rPr>
              <w:t xml:space="preserve">: </w:t>
            </w:r>
            <w:r w:rsidRPr="0069446B" w:rsidR="00FA7F7F">
              <w:rPr>
                <w:noProof/>
              </w:rPr>
              <w:t>F-A</w:t>
            </w:r>
          </w:p>
          <w:p w:rsidR="00C93EB0" w:rsidRPr="0069446B" w:rsidP="00C93EB0" w14:paraId="6F11279A" w14:textId="60684061">
            <w:pPr>
              <w:pStyle w:val="SDSTableTextCentered"/>
              <w:rPr>
                <w:noProof w:val="0"/>
              </w:rPr>
            </w:pPr>
            <w:r w:rsidRPr="0069446B" w:rsidR="00FA7F7F">
              <w:rPr>
                <w:noProof/>
              </w:rPr>
              <w:t>N° FS (Déversement)</w:t>
            </w:r>
            <w:r w:rsidRPr="0069446B">
              <w:rPr>
                <w:noProof w:val="0"/>
              </w:rPr>
              <w:t xml:space="preserve">: </w:t>
            </w:r>
            <w:r w:rsidRPr="0069446B" w:rsidR="00FA7F7F">
              <w:rPr>
                <w:noProof/>
              </w:rPr>
              <w:t>S-F</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Non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Non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Non</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Code de classification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M6</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Dispositions spéciales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274, 335, 375, 601, 650</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Quantités limitées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5l</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Quantités exceptées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Instructions d’emballage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P001, IBC03, LP01, R001</w:t>
            </w:r>
          </w:p>
        </w:tc>
      </w:tr>
      <w:tr w14:paraId="2BED68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5F42010" w14:textId="2801F530">
            <w:pPr>
              <w:pStyle w:val="SDSTableTextNormal"/>
              <w:rPr>
                <w:noProof w:val="0"/>
                <w:lang w:val="nl-BE"/>
              </w:rPr>
            </w:pPr>
            <w:r w:rsidRPr="0069446B" w:rsidR="00FA7F7F">
              <w:rPr>
                <w:noProof/>
                <w:lang w:val="nl-BE"/>
              </w:rPr>
              <w:t>Dispositions spéciales d’emballage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7EAF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102F24" w14:textId="215FBEA9">
            <w:pPr>
              <w:pStyle w:val="SDSTableTextNormal"/>
              <w:rPr>
                <w:noProof w:val="0"/>
              </w:rPr>
            </w:pPr>
            <w:r w:rsidRPr="0069446B" w:rsidR="00FA7F7F">
              <w:rPr>
                <w:noProof/>
              </w:rPr>
              <w:t>PP1</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Pr>
                <w:noProof/>
                <w:lang w:val="nl-BE"/>
              </w:rPr>
              <w:t>Dispositions relatives à l‘emballage en commun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MP19</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Instructions pour citernes mobiles et conteneurs pour vrac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T4</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Dispositions spéciales pour citernes mobiles et conteneurs pour vrac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TP1, TP29</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Code-citerne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LGBV</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Véhicule pour le transport en citerne</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AT</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Catégorie de transport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Dispositions spéciales de transport - Colis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V12</w:t>
            </w:r>
          </w:p>
        </w:tc>
      </w:tr>
      <w:tr w14:paraId="2FAAF2F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1EB0729" w14:textId="124ED269">
            <w:pPr>
              <w:pStyle w:val="SDSTableTextNormal"/>
              <w:rPr>
                <w:noProof w:val="0"/>
              </w:rPr>
            </w:pPr>
            <w:r w:rsidRPr="0069446B">
              <w:rPr>
                <w:noProof/>
              </w:rPr>
              <w:t>Dispositions spéciales de transport - Chargement, déchargement et manutention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7E950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328CF70" w14:textId="0137A576">
            <w:pPr>
              <w:pStyle w:val="SDSTableTextNormal"/>
              <w:rPr>
                <w:noProof w:val="0"/>
              </w:rPr>
            </w:pPr>
            <w:r w:rsidRPr="0069446B" w:rsidR="00FA7F7F">
              <w:rPr>
                <w:noProof/>
              </w:rPr>
              <w:t>CV13</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Pr>
                <w:noProof/>
              </w:rPr>
              <w:t>Numéro d’identification du danger (code Kemler)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90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Panneaux oranges</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13" name="" descr="Panneaux oran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8"/>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Pr>
                <w:noProof/>
                <w:lang w:val="fr-BE"/>
              </w:rPr>
              <w:t>Code de restriction en tunnels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Dispositions spéciales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274, 335, 375, 969</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Quantités limitées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L</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Quantités exceptées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Instructions d’emballage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LP01, P001</w:t>
            </w:r>
          </w:p>
        </w:tc>
      </w:tr>
      <w:tr w14:paraId="1F98A98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9A64968" w14:textId="54A885D3">
            <w:pPr>
              <w:pStyle w:val="SDSTableTextNormal"/>
              <w:rPr>
                <w:noProof w:val="0"/>
              </w:rPr>
            </w:pPr>
            <w:r w:rsidRPr="0069446B">
              <w:rPr>
                <w:noProof/>
              </w:rPr>
              <w:t>Dispositions spéciales d’emballage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B5AF2B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1F6CAB" w14:textId="0A4A51E0">
            <w:pPr>
              <w:pStyle w:val="SDSTableTextNormal"/>
              <w:rPr>
                <w:noProof w:val="0"/>
              </w:rPr>
            </w:pPr>
            <w:r w:rsidRPr="0069446B" w:rsidR="00FA7F7F">
              <w:rPr>
                <w:noProof/>
              </w:rPr>
              <w:t>PP1</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sidR="00FA7F7F">
              <w:rPr>
                <w:noProof/>
              </w:rPr>
              <w:t>Instructions d’emballages GRV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Instructions pour citernes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T4</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sidR="00FA7F7F">
              <w:rPr>
                <w:noProof/>
              </w:rPr>
              <w:t>Dispositions spéciales pour citernes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TP1, TP29</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Catégorie de chargement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Pr>
                <w:noProof/>
              </w:rPr>
              <w:t>Quantités exceptées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Pr>
                <w:noProof/>
              </w:rPr>
              <w:t>Quantités limitées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Y964</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Pr>
                <w:noProof/>
                <w:lang w:val="fr-BE"/>
              </w:rPr>
              <w:t>Quantité nette max. pour quantité limitée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30kgG</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Pr>
                <w:noProof/>
              </w:rPr>
              <w:t>Instructions d’emballage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964</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Pr>
                <w:noProof/>
              </w:rPr>
              <w:t>Quantité nette max. pour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450L</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Pr>
                <w:noProof/>
              </w:rPr>
              <w:t>Instructions d’emballage avion cargo seulement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964</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sidR="00FA7F7F">
              <w:rPr>
                <w:noProof/>
              </w:rPr>
              <w:t>Quantité max. nette avion cargo seulement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450L</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Dispositions spéciales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A97, A158, A197, A215</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Code ERG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9L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Code de classification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M6</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Dispositions spéciales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274, 335, 375, 601, 650</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Quantités limitées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L</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Quantités exceptées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Transport admis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Equipement exigé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Pr>
                <w:noProof/>
              </w:rPr>
              <w:t>Nombre de cônes/feux bleus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Code de classification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M6</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Dispositions spéciales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274, 335, 375, 601, 650</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Quantités limitées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5L</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Quantités exceptées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Instructions d’emballage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P001, IBC03, LP01, R001</w:t>
            </w:r>
          </w:p>
        </w:tc>
      </w:tr>
      <w:tr w14:paraId="5CFB43D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EA89EE6" w14:textId="34816303">
            <w:pPr>
              <w:pStyle w:val="SDSTableTextNormal"/>
              <w:rPr>
                <w:noProof w:val="0"/>
              </w:rPr>
            </w:pPr>
            <w:r w:rsidRPr="0069446B" w:rsidR="00FA7F7F">
              <w:rPr>
                <w:noProof/>
              </w:rPr>
              <w:t>Dispositions spéciales d’emballage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5E48E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C3AF5F9" w14:textId="4961E4E8">
            <w:pPr>
              <w:pStyle w:val="SDSTableTextNormal"/>
              <w:rPr>
                <w:noProof w:val="0"/>
              </w:rPr>
            </w:pPr>
            <w:r w:rsidRPr="0069446B" w:rsidR="00FA7F7F">
              <w:rPr>
                <w:noProof/>
              </w:rPr>
              <w:t>PP1</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Pr>
                <w:noProof/>
              </w:rPr>
              <w:t>Dispositions particulières relatives à l‘emballage en commun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MP19</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Instructions pour citernes mobiles et conteneurs pour vrac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T4</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Dispositions spéciales pour citernes mobiles et conteneurs pour vrac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TP1, TP29</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Pr>
                <w:noProof/>
              </w:rPr>
              <w:t>Codes-citerne pour les citernes RID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LGBV</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Catégorie de transport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Pr>
                <w:noProof/>
              </w:rPr>
              <w:t>Dispositions spéciales de transport - Colis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W12</w:t>
            </w:r>
          </w:p>
        </w:tc>
      </w:tr>
      <w:tr w14:paraId="01614B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6B09AD" w14:textId="14412795">
            <w:pPr>
              <w:pStyle w:val="SDSTableTextNormal"/>
              <w:rPr>
                <w:noProof w:val="0"/>
              </w:rPr>
            </w:pPr>
            <w:r w:rsidRPr="0069446B">
              <w:rPr>
                <w:noProof/>
              </w:rPr>
              <w:t>Dispositions spéciales de transport - Chargement, déchargement et manutention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E5F16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0FC7D57" w14:textId="73BAD98C">
            <w:pPr>
              <w:pStyle w:val="SDSTableTextNormal"/>
              <w:rPr>
                <w:noProof w:val="0"/>
              </w:rPr>
            </w:pPr>
            <w:r w:rsidRPr="0069446B" w:rsidR="00FA7F7F">
              <w:rPr>
                <w:noProof/>
              </w:rPr>
              <w:t>CW13, CW31</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sidR="00FA7F7F">
              <w:rPr>
                <w:noProof/>
              </w:rPr>
              <w:t>Colis express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CE8</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Pr>
                <w:noProof/>
              </w:rPr>
              <w:t>Numéro d’identification du danger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90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p w:rsidR="00A65092" w:rsidRPr="0069446B" w:rsidP="00A65092" w14:paraId="1965DBDA" w14:textId="0FFE3A91">
      <w:pPr>
        <w:pStyle w:val="SDSTextNormal"/>
      </w:pPr>
      <w:r>
        <w:rPr>
          <w:noProof/>
        </w:rPr>
        <w:t>Ne contient pas de substance(s) listée(s) dans l’Annexe XVII de REACH (Conditions de restriction)</w:t>
      </w:r>
    </w:p>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inhalation)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Inhalation),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1A</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par inhalation.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 entraîne des effets néfastes à long terme.</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pour les organismes aquatiques, entraîne des effets néfastes à long terme.</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23/04/2026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23/04/2026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fleur des îles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fleur des îles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23/04/2026   Version: 4.0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8" Type="http://schemas.openxmlformats.org/officeDocument/2006/relationships/image" Target="media/image3.png"/><Relationship Id="rId18" Type="http://schemas.openxmlformats.org/officeDocument/2006/relationships/customXml" Target="../customXml/item3.xml"/><Relationship Id="rId3" Type="http://schemas.openxmlformats.org/officeDocument/2006/relationships/fontTable" Target="fontTable.xml"/><Relationship Id="rId12" Type="http://schemas.openxmlformats.org/officeDocument/2006/relationships/footer" Target="footer2.xml"/><Relationship Id="rId7" Type="http://schemas.openxmlformats.org/officeDocument/2006/relationships/image" Target="media/image2.png"/><Relationship Id="rId17" Type="http://schemas.openxmlformats.org/officeDocument/2006/relationships/customXml" Target="../customXml/item2.xml"/><Relationship Id="rId16" Type="http://schemas.openxmlformats.org/officeDocument/2006/relationships/styles" Target="styles.xml"/><Relationship Id="rId2" Type="http://schemas.openxmlformats.org/officeDocument/2006/relationships/webSettings" Target="webSettings.xml"/><Relationship Id="rId1" Type="http://schemas.openxmlformats.org/officeDocument/2006/relationships/settings" Target="settings.xml"/><Relationship Id="rId11" Type="http://schemas.openxmlformats.org/officeDocument/2006/relationships/footer" Target="footer1.xml"/><Relationship Id="rId6" Type="http://schemas.openxmlformats.org/officeDocument/2006/relationships/image" Target="media/image1.png"/><Relationship Id="rId15" Type="http://schemas.openxmlformats.org/officeDocument/2006/relationships/theme" Target="theme/theme1.xml"/><Relationship Id="rId5" Type="http://schemas.openxmlformats.org/officeDocument/2006/relationships/hyperlink" Target="mailto: office@labsys.fr" TargetMode="External"/><Relationship Id="rId10" Type="http://schemas.openxmlformats.org/officeDocument/2006/relationships/header" Target="header2.xml"/><Relationship Id="rId19" Type="http://schemas.openxmlformats.org/officeDocument/2006/relationships/customXml" Target="../customXml/item4.xml"/><Relationship Id="rId14" Type="http://schemas.openxmlformats.org/officeDocument/2006/relationships/footer" Target="footer3.xml"/><Relationship Id="rId4" Type="http://schemas.openxmlformats.org/officeDocument/2006/relationships/customXml" Target="../customXml/item1.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71B07C2A-7822-42B8-B0CD-E35146CA532A}"/>
</file>

<file path=customXml/itemProps3.xml><?xml version="1.0" encoding="utf-8"?>
<ds:datastoreItem xmlns:ds="http://schemas.openxmlformats.org/officeDocument/2006/customXml" ds:itemID="{9629D8E6-15A7-484B-ADA4-7A619E975FB8}"/>
</file>

<file path=customXml/itemProps4.xml><?xml version="1.0" encoding="utf-8"?>
<ds:datastoreItem xmlns:ds="http://schemas.openxmlformats.org/officeDocument/2006/customXml" ds:itemID="{68173961-454D-419F-A69C-AEBB3092F8B7}"/>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