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fleur de lin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1-(1,2,3,4,5,6,7,8-octahydro-2,3,8,8-tetramethyl-2-naphthyl)ethan-1-one, CITRONELLOL, HYDROXYCITRONELLAL.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Composant</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Substance(s) ne répondant pas aux critères PBT du règlement REACH, conformément à l’annexe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Substance(s) ne répondant pas aux critères vPvB du règlement REACH, conformément à l’annexe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2"/>
    </w:tbl>
    <w:p w:rsidR="00B072A8" w:rsidRPr="0069446B" w:rsidP="00B072A8" w14:paraId="7788D936" w14:textId="77777777">
      <w:pPr>
        <w:pStyle w:val="SDSTextBlankLine"/>
      </w:pPr>
    </w:p>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2,1266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(par voie orale), H302 (ATE=500 mg/kg de poids corporel)</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214-946-9</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0,98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1-(5,6,7,8-tetrahydro-3,5,5,6,8,8-hexamethyl-2-naphthyl)ethan-1-one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1506-02-1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203-966-3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0,1379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Florale. Epicée. Poudrée. Vanille.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1,3,4,6,7,8-hexahydro-4,6,6,7,8,8-hexamethylindeno[5,6-c]pyran (1222-05-5)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de poids corporel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benzoate (120-51-4)</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6400 mg/kg de poids corporel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de poids corporel Animal: rabbit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1,3,4,6,7,8-hexahydro-4,6,6,7,8,8-hexamethylindeno[5,6-c]pyran (1222-05-5)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150 mg/kg de poids corporel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de poids corporel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citronellol (106-22-9)</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2000 mg/kg de poids corporel Animal: rat, Guideline: other:</w:t>
            </w:r>
          </w:p>
        </w:tc>
      </w:tr>
      <w:tr w14:paraId="1DE6168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E7C06A1" w14:textId="0EA9F377">
            <w:pPr>
              <w:pStyle w:val="SDSTableTextNormal"/>
              <w:rPr>
                <w:noProof w:val="0"/>
                <w:lang w:val="de-DE"/>
              </w:rPr>
            </w:pPr>
            <w:r w:rsidRPr="0069446B">
              <w:rPr>
                <w:noProof/>
                <w:lang w:val="de-DE"/>
              </w:rPr>
              <w:t>NOAEC (inhalation, rat, poussière/brouillard/fumée,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1724A9" w14:textId="17F52CE8">
            <w:pPr>
              <w:pStyle w:val="SDSTableTextNormal"/>
              <w:rPr>
                <w:noProof w:val="0"/>
              </w:rPr>
            </w:pPr>
            <w:r w:rsidRPr="0069446B">
              <w:rPr>
                <w:noProof/>
              </w:rPr>
              <w:t>0,063 mg/l air Animal: rat, Guideline: OECD Guideline 412 (Subacute Inhalation Toxicity: 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de poids corporel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(subchronique, oral, animal/mâle,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de poids corporel Animal: mouse, Animal sex: male, Guideline: OECD Guideline 453 (Combined Chronic Toxicity / Carcinogenicity Studies)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fleur de lin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Informations sur les autres dangers</w:t>
      </w:r>
      <w:bookmarkEnd w:id="3"/>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1,3,4,6,7,8-hexahydro-4,6,6,7,8,8-hexamethylindeno[5,6-c]pyran (1222-05-5)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0,95 mg/l Test organisms (species): Oryzias latipes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0,194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0,075 mg/l Test organisms (species): other aquatic crustacea: Duration: '5,5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benzoate (120-51-4)</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citronellol (106-22-9)</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14,66 mg/l Test organisms (species): Leuciscus idus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17,48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2,4 mg/l Test organisms (species):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fleur de lin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1-(5,6,7,8-tetrahydro-3,5,5,6,8,8-hexamethyl-2-naphthyl)ethan-1-one (1506-02-1)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1,3,4,6,7,8-hexahydro-4,6,6,7,8,8-hexamethylindeno[5,6-c]pyran (1222-05-5)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benzoate (120-51-4)</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Composant</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Substance(s) ne répondant pas aux critères PBT du règlement REACH, conformément à l’annexe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Substance(s) ne répondant pas aux critères vPvB du règlement REACH, conformément à l’annexe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4"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benzoate ; citronellol ; 7-hydroxycitronellal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1,3,4,6,7,8-hexahydro-4,6,6,7,8,8-hexamethylindeno[5,6-c]pyran ; benzyl benzoate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orale),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1-(1,2,3,4,5,6,7,8-octahydro-2,3,8,8-tetramethyl-2-naphthyl)ethan-1-one, CITRONELLOL, HYDROXYCITRONELLAL. Peut produire une réaction allergique.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24/04/2026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24/04/2026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fleur de lin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fleur de lin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24/04/2026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3B5DA20B-7BC8-4013-832A-122D888B5CFC}"/>
</file>

<file path=customXml/itemProps3.xml><?xml version="1.0" encoding="utf-8"?>
<ds:datastoreItem xmlns:ds="http://schemas.openxmlformats.org/officeDocument/2006/customXml" ds:itemID="{86C59CB3-89A5-49A4-B1A0-55204E91C1EA}"/>
</file>

<file path=customXml/itemProps4.xml><?xml version="1.0" encoding="utf-8"?>
<ds:datastoreItem xmlns:ds="http://schemas.openxmlformats.org/officeDocument/2006/customXml" ds:itemID="{38307E1C-CDAA-48C2-9F19-E46FEE9902E0}"/>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