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frangipanier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HEXYL CINNAMAL, TETRAHYDROLINALOOL, HYDROXYCITRONELLAL, géraniol; (2E)-3,7-diméthylocta-2,6-dién-1-ol, benzyl salicylate, citral, cyclamen aldehyde, isopentyl salicylate.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Composant</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Substance(s) non incluse(s) dans la liste établie conformément à l’article 59, al. 1, du règlement REACH pour avoir des propriétés perturbant le système endocrinien, ou non identifiée(s) comme ayant des propriétés perturbant le système endocrinien conformément aux critères énoncés dans le règlement délégué (UE) 2017/2100 de la Commission ou le règlement (UE) 2018/605 de la Commission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0,91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isopentyl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87-20-7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201-730-4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0,665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103-95-7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203-377-1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Verte. jasmin. muguet.</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de poids corporel Animal: rat,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de poids corporel Animal: rat, 95% CL: 2840 - 4570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cyclamen aldehyde (103-95-7)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2000 – 5000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de poids corporel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geraniol (106-24-1)</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sidR="00FA7F7F">
              <w:rPr>
                <w:noProof/>
              </w:rPr>
              <w:t>NOAEL (chronique, oral, animal/mâle, 2 ans)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de poids corporel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de poids corporel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de poids corporel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de poids corporel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de poids corporel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de poids corporel Animal: rat, Guideline: other:,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frangipanier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cyclamen aldehyde (103-95-7)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frangipanier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cyclamen aldehyde (103-95-7)</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isopentyl salicylate (87-20-7)</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3,7-dimethyloctan-3-ol ; 7-hydroxycitronellal ; geraniol ; 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aigu, catégorie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de graves lésions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HEXYL CINNAMAL, TETRAHYDROLINALOOL, HYDROXYCITRONELLAL, géraniol; (2E)-3,7-diméthylocta-2,6-dién-1-ol, benzyl salicylate, citral, cyclamen aldehyde, isopentyl salicylate.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frangipanier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frangipanier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20/05/2026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7603AD7-2850-4F35-9238-B6B9D9E28419}"/>
</file>

<file path=customXml/itemProps3.xml><?xml version="1.0" encoding="utf-8"?>
<ds:datastoreItem xmlns:ds="http://schemas.openxmlformats.org/officeDocument/2006/customXml" ds:itemID="{15330C99-8C11-4ADB-B34D-A1BAA0CE743B}"/>
</file>

<file path=customXml/itemProps4.xml><?xml version="1.0" encoding="utf-8"?>
<ds:datastoreItem xmlns:ds="http://schemas.openxmlformats.org/officeDocument/2006/customXml" ds:itemID="{831275EE-0FDB-4FBA-9D33-B5BD67D1756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