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boisé.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C42E5D5-6B84-4F51-9BDD-237039D35D17}"/>
</file>

<file path=customXml/itemProps3.xml><?xml version="1.0" encoding="utf-8"?>
<ds:datastoreItem xmlns:ds="http://schemas.openxmlformats.org/officeDocument/2006/customXml" ds:itemID="{3FF44353-E46A-446F-8D18-D3CD2681655E}"/>
</file>

<file path=customXml/itemProps4.xml><?xml version="1.0" encoding="utf-8"?>
<ds:datastoreItem xmlns:ds="http://schemas.openxmlformats.org/officeDocument/2006/customXml" ds:itemID="{A3A212EF-8063-4BA4-A718-21BA47F2D1CA}"/>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