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fleur d'eau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Peut provoquer une allergie cutanée. 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7-hydroxycitronellal; geraniol; 1-(1,2,3,4,5,6,7,8-octahydro-2,3,8,8-tetramethyl-2-naphthyl)ethan-1-one; isopentyl salicylate; linalool; benzyl salicylate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Peut provoquer une allergie cutanée.</w:t>
              <w:b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P302+P352 - EN CAS DE CONTACT AVEC LA PEAU: laver abondamment à l’eau et au savon.</w:t>
              <w:br/>
              <w:t>P333+P313 - En cas d’irritation ou d’éruption cutanée: consulter un médecin.</w:t>
              <w:br/>
              <w:t>P501 - Éliminer le contenu/récipient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Composant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non incluse(s) dans la liste établie conformément à l’article 59, al. 1, du règlement REACH pour avoir des propriétés perturbant le système endocrinien, ou non identifiée(s) comme ayant des propriétés perturbant le système endocrinien conformément aux critères énoncés dans le règlement délégué (UE) 2017/2100 de la Commission ou le règlement (UE) 2018/605 de la Commission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isopentyl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87-20-7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201-730-4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aromatique. boisé. Hespéridée. herbacé. Marine.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7-hydroxycitronellal (107-75-5)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6400 mg/kg de poids corporel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de poids corporel Animal: rat, 95% CL: 2840 - 4570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geraniol (106-24-1)</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7-hydroxycitronellal (107-75-5)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de poids corporel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de poids corporel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de poids corporel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fleur d'eau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7-hydroxycitronellal (107-75-5)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31,6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410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fleur d'eau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7-hydroxycitronellal (107-75-5)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isopentyl salicylate (87-20-7)</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7-hydroxycitronellal ; geraniol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Dangereux pour le milieu aquatique – Danger aigu, catégorie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lésions des yeux.</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13/04/2026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13/04/2026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fleur d'eau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fleur d'eau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13/04/2026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20D73CF-290D-4769-B505-99385C0FBB6C}"/>
</file>

<file path=customXml/itemProps3.xml><?xml version="1.0" encoding="utf-8"?>
<ds:datastoreItem xmlns:ds="http://schemas.openxmlformats.org/officeDocument/2006/customXml" ds:itemID="{32953512-2221-48F7-B48C-C2B9F073E02C}"/>
</file>

<file path=customXml/itemProps4.xml><?xml version="1.0" encoding="utf-8"?>
<ds:datastoreItem xmlns:ds="http://schemas.openxmlformats.org/officeDocument/2006/customXml" ds:itemID="{935DAACE-EAB6-42F8-A27B-AF4C77DB369E}"/>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