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d'eau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7-hydroxycitronellal; geraniol; 1-(1,2,3,4,5,6,7,8-octahydro-2,3,8,8-tetramethyl-2-naphthyl)ethan-1-one; isopentyl salicylate; linalool; [3R-(3α,3aβ,6α,7β,8aα)]-octahydro-3,6,8,8-tetramethyl-1H-3a,7-methanoazulen-5-yl acetate; α-methyl-1,3-benzodioxole-5-propionaldehyde;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herbacé. Marine. boisé. aromatique.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de poids corporel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de poids corporel Animal: rat, Animal sex: male, Guideline: OECD Guideline 422 (Combined Repeated Dose Toxicity Study with the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d'eau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d'eau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7-hydroxycitronellal (107-75-5)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[3R-(3α,3aβ,6α,7β,8aα)]-octahydro-3,6,8,8-tetramethyl-1H-3a,7-methanoazulen-5-yl acetate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geraniol ; linalool ; [3R-(3α,3aβ,6α,7β,8aα)]-octahydro-3,6,8,8-tetramethyl-1H-3a,7-methanoazulen-5-yl acetate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13/04/2026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d'eau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d'eau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13/04/2026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C82E757-2FD8-4179-A4D8-5CC31AFA9D09}"/>
</file>

<file path=customXml/itemProps3.xml><?xml version="1.0" encoding="utf-8"?>
<ds:datastoreItem xmlns:ds="http://schemas.openxmlformats.org/officeDocument/2006/customXml" ds:itemID="{4E435903-333E-46EA-BF3A-5C2F70587160}"/>
</file>

<file path=customXml/itemProps4.xml><?xml version="1.0" encoding="utf-8"?>
<ds:datastoreItem xmlns:ds="http://schemas.openxmlformats.org/officeDocument/2006/customXml" ds:itemID="{B461C5C2-B13B-4573-9A55-63EA4C3DEF50}"/>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