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d'amandier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α-hexylcinnamaldehyde, 1-(1,2,3,4,5,6,7,8-octahydro-2,3,8,8-tetramethyl-2-naphthyl)ethan-1-one, hexyl salicylate, coumarin, linalool, Acétate de 4-tert-butylcyclohexyle, isopentyl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2-tert-butylbenzene-1,4-diol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(ATE=700 mg/kg)</w:t>
              <w:br/>
              <w:t>Acute Tox. 4 (par voie cutanée),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Amande. Musc. Poudrée.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2-tert-butylbenzene-1,4-diol (1948-33-0)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951 mg/kg de poids corporel Animal: rat,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2-tert-butylbenzene-1,4-diol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de poids corporel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2-tert-butylbenzene-1,4-diol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de poids corporel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Animal sex: 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d'amandier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2-tert-butylbenzene-1,4-diol (1948-33-0)</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0,3 – 0,48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0,05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0,004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d'amandier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beta-methylionone (127-43-5)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2-tert-butylbenzene-1,4-diol (1948-33-0)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α-hexylcinnamaldehyde, 1-(1,2,3,4,5,6,7,8-octahydro-2,3,8,8-tetramethyl-2-naphthyl)ethan-1-one, hexyl salicylate, coumarin, linalool, Acétate de 4-tert-butylcyclohexyle, isopentyl salicylate.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d'amandier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d'amandier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FE7F170-697F-4354-BE34-DEBB281DF65B}"/>
</file>

<file path=customXml/itemProps3.xml><?xml version="1.0" encoding="utf-8"?>
<ds:datastoreItem xmlns:ds="http://schemas.openxmlformats.org/officeDocument/2006/customXml" ds:itemID="{2D2241AA-1380-4324-9932-123E1B367B5A}"/>
</file>

<file path=customXml/itemProps4.xml><?xml version="1.0" encoding="utf-8"?>
<ds:datastoreItem xmlns:ds="http://schemas.openxmlformats.org/officeDocument/2006/customXml" ds:itemID="{3936680D-6E45-4DDE-AD7D-2EF79268D77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