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feu de bois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Acétate de 4-tert-butylcyclohexyle, cashmeran.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Cuir.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cashmeran (33704-61-9)</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2685 mg/kg de poids corporel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de poids corporel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de poids corporel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(animal/mâle,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de poids corporel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feu de bois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cashmeran (33704-61-9)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1,7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feu de bois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Acétate de 4-tert-butylcyclohexyle, cashmeran.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feu de bois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feu de bois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FCEF51B-79A4-4EC7-8411-76BBA9ECEA3B}"/>
</file>

<file path=customXml/itemProps3.xml><?xml version="1.0" encoding="utf-8"?>
<ds:datastoreItem xmlns:ds="http://schemas.openxmlformats.org/officeDocument/2006/customXml" ds:itemID="{7A1775D8-4B62-4D2B-B122-A37ED1D075C5}"/>
</file>

<file path=customXml/itemProps4.xml><?xml version="1.0" encoding="utf-8"?>
<ds:datastoreItem xmlns:ds="http://schemas.openxmlformats.org/officeDocument/2006/customXml" ds:itemID="{CE8EDF88-8C7B-4DDF-B800-9E5C8E24E0C7}"/>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