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escale à bali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LIMONENE, pin-2(3)-ene,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Aucun(es) dans des conditions normales.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escale à bali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Bougie escale à bali 10%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LIMONENE, pin-2(3)-ene,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escale à bali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escale à bali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75C6AF8-15A4-4C5C-AE81-0F176285DADC}"/>
</file>

<file path=customXml/itemProps3.xml><?xml version="1.0" encoding="utf-8"?>
<ds:datastoreItem xmlns:ds="http://schemas.openxmlformats.org/officeDocument/2006/customXml" ds:itemID="{2F4F4B88-D42D-496D-BE6A-5AB95B75FED7}"/>
</file>

<file path=customXml/itemProps4.xml><?xml version="1.0" encoding="utf-8"?>
<ds:datastoreItem xmlns:ds="http://schemas.openxmlformats.org/officeDocument/2006/customXml" ds:itemID="{88A82590-6562-4B90-86D7-A14A191730B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