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cupcake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(par voie orale), H302 (ATE=500 mg/kg de poids corporel)</w:t>
              <w:br/>
              <w:t>Acute Tox. 3 (par inhalation),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Diacétyle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indicatives</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Arrêté du 30 juin 2004 modifié (réf.: INRS ED 6443, 2022; Outil65; Arrête du 27 septembre 2019)</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Gourmande. lait.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Toxicité spécifique pour certains organes cibles (STOT) (exposition répétée)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Risque présumé d’effets graves pour les organes à la suite d’expositions répétées ou d’une exposition prolongée.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cupcake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cupcake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répétée,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très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Risque présumé d’effets graves pour les organes à la suite d’expositions répétées ou d’une exposition prolongée.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cupcake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cupcake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E20C8B4-93B8-43B4-AF87-12381CAF397D}"/>
</file>

<file path=customXml/itemProps3.xml><?xml version="1.0" encoding="utf-8"?>
<ds:datastoreItem xmlns:ds="http://schemas.openxmlformats.org/officeDocument/2006/customXml" ds:itemID="{1619CFCF-D28F-4B7C-9014-1AC092F10AED}"/>
</file>

<file path=customXml/itemProps4.xml><?xml version="1.0" encoding="utf-8"?>
<ds:datastoreItem xmlns:ds="http://schemas.openxmlformats.org/officeDocument/2006/customXml" ds:itemID="{D19ED48D-6B3E-42C5-80CD-B688E0E5E73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