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cuir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pentadecan-15-olide.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4,4429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(ATE=500 mg/kg de poids corporel)</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tetrahydro-2-isobutyl-4-methyl-pyran-4-ol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63500-71-0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405-040-6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1,0549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herbacé. aromatique. Chypre. Boisé.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pentadecan-15-olide (106-02-5)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tetrahydro-2-isobutyl-4-methyl-pyran-4-ol (63500-71-0)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EU Method B.1 (Acute Toxicity (Oral)),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de poids corporel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tetrahydro-2-isobutyl-4-methyl-pyran-4-ol (63500-71-0)</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125 mg/kg de poids corporel Animal: rat, Guideline: OECD Guideline 407 (Repeated Dose 28-Day Oral Toxicity Study in Rodents)</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1000 mg/kg de poids corporel Animal: rat, Guideline: OECD Guideline 411 (Subchronic Dermal Toxicity: 90-Day Study), Guideline: EU Method B.28 (Sub-Chronic Dermal Toxicity Test: 90-Day Repeated Dermal Dose Study Using Rodent Species)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cuir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pentadecan-15-olide (106-02-5)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&gt; 0,17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tetrahydro-2-isobutyl-4-methyl-pyran-4-ol (63500-71-0)</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320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cuir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pentadecan-15-olide (106-02-5)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tetrahydro-2-isobutyl-4-methyl-pyran-4-ol (63500-71-0)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tetrahydro-2-isobutyl-4-methyl-pyran-4-ol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pentadecan-15-olide.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cuir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cuir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01/04/2026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417E98C-8276-4D5E-A6C0-C07856F27C31}"/>
</file>

<file path=customXml/itemProps3.xml><?xml version="1.0" encoding="utf-8"?>
<ds:datastoreItem xmlns:ds="http://schemas.openxmlformats.org/officeDocument/2006/customXml" ds:itemID="{C550E733-09BE-45B8-B1B8-CC66D541A6F0}"/>
</file>

<file path=customXml/itemProps4.xml><?xml version="1.0" encoding="utf-8"?>
<ds:datastoreItem xmlns:ds="http://schemas.openxmlformats.org/officeDocument/2006/customXml" ds:itemID="{977B4BE5-9142-4740-9C83-07F48A581861}"/>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