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coupe de champagne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7-hydroxycitronellal; citral; citronellol; geraniol; d-limonene; 3-(p-methoxyphenyl)-2-methylpropionaldehyde; isoeugenol; (E)-1-(2,6,6-trimethyl-1,3-cyclohexadien-1-yl)-2-buten-1-one; piperonal; benzyl salicylate; linalyl acetate; [3R-(3α,3aβ,6α,7β,8aα)]-octahydro-3,6,8,8-tetramethyl-1H-3a,7-methanoazulen-5-yl acetate; linalool; 3-(4-isobutyl-2-methylphenyl)propanal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P302+P352 - EN CAS DE CONTACT AVEC LA PEAU: Laver abondamment à l’eau et au savon.</w:t>
              <w:br/>
              <w:t>P333+P313 - En cas d’irritation ou d’éruption cutanée: consulter un médecin.</w:t>
              <w:br/>
              <w:t>P501 - Éliminer le contenu et le 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b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3-(p-methoxyphenyl)-2-methylpropionaldehyde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5462-06-6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226-749-5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3-(4-isobutyl-2-methylphenyl)propanal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1637294-12-2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811-285-3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Eye Irrit. 2, H319</w:t>
              <w:br/>
              <w:t>Skin Sens. 1, H317</w:t>
              <w:br/>
              <w:t>Aquatic Chronic 2, H411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voie cutanée), H312 (ATE=1100 mg/kg de poids corporel)</w:t>
              <w:br/>
              <w:t>Acute Tox. 4 (par inhalation), H332 (ATE=1,5 mg/l/4h)</w:t>
              <w:br/>
              <w:t>Skin Irrit. 2, H315</w:t>
              <w:br/>
              <w:t>Eye Irrit. 2, H319</w:t>
              <w:br/>
              <w:t>Skin Sens. 1A, H317</w:t>
              <w:br/>
              <w:t>STOT SE 3, H335</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Hespéridée. Florale. Verte. Orangée.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7-hydroxycitronellal (107-75-5)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6400 mg/kg de poids corporel Animal: rat, Guideline: OECD Guideline 401 (Acute Oral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poids corporel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3-(p-methoxyphenyl)-2-methylpropionaldehyde (5462-06-6)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4000 mg/kg de poids corporel Animal: rat, Animal sex: male, Guideline: OECD Guideline 401 (Acute Oral Toxicity), 95% CL: 3400 - 4600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3-(4-isobutyl-2-methylphenyl)propanal (1637294-12-2)</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420 (Acute Oral Toxicity - Fixed Dose Method), Guideline: EPA OPPTS 870.1100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 Guideline: EU Method B.3 (Acute Toxicity (Dermal))</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403 (Acute Inhalation Toxicity), Guideline: EU Method B.2 (Acute Toxicity (Inhalation)), Guideline: EPA OPPTS 870.1300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7-hydroxycitronellal (107-75-5)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citral (5392-40-5)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7-hydroxycitronellal (107-75-5)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(inhalation, rat, gaz,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3-(4-isobutyl-2-methylphenyl)propanal (1637294-12-2)</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407 (Repeated Dose 28-Day Oral Toxicity Study in Rodents), Guideline: other:,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coupe de champagne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7-hydroxycitronellal (107-75-5)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31,6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410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3-(p-methoxyphenyl)-2-methylpropionaldehyde (5462-06-6)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5,2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12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3-(4-isobutyl-2-methylphenyl)propanal (1637294-12-2)</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1,01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1,55 mg/l Test organisms (species): Desmodesmus subspicatus (previous name: Scenedesmus subspicatus)</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0,719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coupe de champagne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7-hydroxycitronellal (107-75-5)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3-(p-methoxyphenyl)-2-methylpropionaldehyde (5462-06-6)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3-(4-isobutyl-2-methylphenyl)propanal (1637294-12-2)</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7-hydroxycitronellal ; citral ; citronellol ; geraniol ; d-limonene ; 3-(p-methoxyphenyl)-2-methylpropionaldehyde ; isoeugenol ; (E)-1-(2,6,6-trimethyl-1,3-cyclohexadien-1-yl)-2-buten-1-one ; benzyl salicylate ; linalyl acetate ; [3R-(3α,3aβ,6α,7β,8aα)]-octahydro-3,6,8,8-tetramethyl-1H-3a,7-methanoazulen-5-yl acetate ; linalool ; pin-2(3)-ene ; benzyl alcohol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acetate ; d-limonene ; (E)-1-(2,6,6-trimethyl-1,3-cyclohexadien-1-yl)-2-buten-1-one ; benzyl salicylate ; [3R-(3α,3aβ,6α,7β,8aα)]-octahydro-3,6,8,8-tetramethyl-1H-3a,7-methanoazulen-5-yl acetate ; pin-2(3)-ene ; 3-(4-isobutyl-2-methylphenyl)propanal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12/10/2026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coupe de champagne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coupe de champagne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12/10/2026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105B317-D0F5-49CD-8B4E-1034E214B68E}"/>
</file>

<file path=customXml/itemProps3.xml><?xml version="1.0" encoding="utf-8"?>
<ds:datastoreItem xmlns:ds="http://schemas.openxmlformats.org/officeDocument/2006/customXml" ds:itemID="{5038EB0B-8750-4369-B07F-B5327CD27AB7}"/>
</file>

<file path=customXml/itemProps4.xml><?xml version="1.0" encoding="utf-8"?>
<ds:datastoreItem xmlns:ds="http://schemas.openxmlformats.org/officeDocument/2006/customXml" ds:itemID="{148C4C2C-649A-4E8B-AE70-01BA59C29B1F}"/>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