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coco solaire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isopentyl salicylate, TETRAHYDROLINALOOL, linalyl acetate, coumarin, 3-(p-cumenyl)-2-methylpropionaldehyde.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tetrahydro-2-isobutyl-4-methyl-pyran-4-ol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2050-08-0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218-080-2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3-(p-cumenyl)-2-methylpropionaldehyde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6658-48-6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229-695-0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Oriental. balsamique. Fruitée. Gourmande.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tetrahydro-2-isobutyl-4-methyl-pyran-4-ol</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EU Method B.1 (Acute Toxicity (Oral)),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de poids corporel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pentyl salicylate (2050-08-0)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2000 mg/kg de poids corporel Animal: rat, Animal sex: male,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pentyl salicylate (2050-08-0)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540 mg/kg de poids corporel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180 mg/kg de poids corporel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tetrahydro-2-isobutyl-4-methyl-pyran-4-ol</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de poids corporel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de poids corporel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coco solaire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tetrahydro-2-isobutyl-4-methyl-pyran-4-ol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pentyl salicylate (2050-08-0)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0,88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coco solaire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ethylene brassylate (105-95-3)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tetrahydro-2-isobutyl-4-methyl-pyran-4-ol</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pentyl salicylate (2050-08-0)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3-(p-cumenyl)-2-methylpropionaldehyde (6658-48-6)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tetrahydro-2-isobutyl-4-methyl-pyran-4-ol ; 3,7-dimethyloctan-3-ol ; pentyl salicylate ; linalyl acetate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pentyl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isopentyl salicylate, TETRAHYDROLINALOOL, linalyl acetate, coumarin, 3-(p-cumenyl)-2-methylpropionaldehyde.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26/06/2026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26/06/2026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coco solaire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coco solaire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26/06/2026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BD3DD83-6E0D-48BC-A887-FAD8AC3183A0}"/>
</file>

<file path=customXml/itemProps3.xml><?xml version="1.0" encoding="utf-8"?>
<ds:datastoreItem xmlns:ds="http://schemas.openxmlformats.org/officeDocument/2006/customXml" ds:itemID="{6E8758EE-4C1B-4789-A1DD-ECA64E43C3EC}"/>
</file>

<file path=customXml/itemProps4.xml><?xml version="1.0" encoding="utf-8"?>
<ds:datastoreItem xmlns:ds="http://schemas.openxmlformats.org/officeDocument/2006/customXml" ds:itemID="{D51E4737-942B-4082-9E15-E3FB45FE99D9}"/>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