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clafoutis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Peut provoquer une allergie cutanée. 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Pictogrammes de danger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cinnamaldehyde; 1-(1,2,3,4,5,6,7,8-octahydro-2,3,8,8-tetramethyl-2-naphthyl)ethan-1-one; coumarin; isoeugenol; (E)-1-(2,6,6-trimethyl-1,3-cyclohexadien-1-yl)-2-buten-1-one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Peut provoquer une allergie cutanée.</w:t>
              <w:b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P302+P352 - EN CAS DE CONTACT AVEC LA PEAU: Laver abondamment à l’eau et au savon.</w:t>
              <w:br/>
              <w:t>P333+P313 - En cas d’irritation ou d’éruption cutanée: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0,4137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0,2667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100-52-7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202-860-4</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605-012-00-5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0,1589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Acute Tox. 4 (par inhalation), H332 (ATE=3 mg/l/4h)</w:t>
              <w:br/>
              <w:t>Skin Irrit. 2, H315</w:t>
              <w:br/>
              <w:t>Eye Irrit. 2, H319</w:t>
              <w:br/>
              <w:t>Repr. 2, H361</w:t>
              <w:br/>
              <w:t>STOT SE 3, H335</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(E)-1-(2,6,6-trimethyl-1,3-cyclohexadien-1-yl)-2-buten-1-one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23726-93-4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245-844-2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0,0315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inhalation), H332 (ATE=1,5 mg/l/4h)</w:t>
              <w:br/>
              <w:t>Skin Irrit. 2, H315</w:t>
              <w:br/>
              <w:t>Skin Sens. 1A, H317</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0,01274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cutanée), H312 (ATE=1260 mg/kg de poids corporel)</w:t>
              <w:br/>
              <w:t>Skin Irrit. 2, H315</w:t>
              <w:br/>
              <w:t>Eye Irrit. 2, H319</w:t>
              <w:br/>
              <w:t>Skin Sens. 1A, H317</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0,00315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Acute Tox. 4 (par voie cutanée), H312 (ATE=1100 mg/kg de poids corporel)</w:t>
              <w:br/>
              <w:t>Acute Tox. 4 (par inhalation),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Limites de concentration spécifiques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Identificateur de produit</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Limites de concentration spécifiques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r w14:paraId="466CEF49"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97-54-1</w:t>
            </w:r>
          </w:p>
          <w:p w:rsidR="00827634" w:rsidRPr="0069446B" w:rsidP="009B0F88"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202-590-7</w:t>
            </w:r>
          </w:p>
          <w:p w:rsidR="00827634" w:rsidRPr="0069446B" w:rsidP="009B0F88" w14:textId="719C52A6">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Oriental. balsamique. Fruitée. Epicée. Boisé.</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benzaldehyde (100-52-7)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 1430 mg/kg de poids corporel Animal: rat, Animal sex: male, Guideline: OECD Guideline 401 (Acute Oral Toxicity), 95% CL: 1,33 - 1,54</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de poids corporel Animal: rabbit</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1 – 5 mg/l air Animal: rat, Guideline: OECD Guideline 436 (Acute Inhalation Toxicity: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de poids corporel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de poids corporel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de poids corporel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de poids corporel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de poids corporel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(E)-1-(2,6,6-trimethyl-1,3-cyclohexadien-1-yl)-2-buten-1-one (23726-93-4)</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Guideline: EU Method B.1 (Acute Toxicity (Oral))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de poids corporel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benzaldehyde (100-52-7)</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Toxicité spécifique pour certains organes cibles (STOT) (exposition unique)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Peut irriter les voies respiratoires.</w:t>
            </w:r>
            <w:r w:rsidRPr="0069446B">
              <w:rPr>
                <w:noProof w:val="0"/>
                <w:lang w:val="fr-BE"/>
              </w:rPr>
              <w:t xml:space="preserve"> </w:t>
            </w:r>
          </w:p>
        </w:tc>
      </w:tr>
    </w:tbl>
    <w:p w:rsidR="00827634" w:rsidRPr="0069446B" w:rsidP="002B741C" w14:textId="6BB7031E">
      <w:pPr>
        <w:pStyle w:val="SDSTextBlankLine"/>
      </w:pPr>
    </w:p>
    <w:tbl>
      <w:tblPr>
        <w:tblStyle w:val="SDSTableWithBordersWithHeaderRow"/>
        <w:tblW w:w="10489" w:type="dxa"/>
        <w:tblLayout w:type="fixed"/>
        <w:tblLook w:val="04A0"/>
      </w:tblPr>
      <w:tblGrid>
        <w:gridCol w:w="3969"/>
        <w:gridCol w:w="6520"/>
      </w:tblGrid>
      <w:tr w14:paraId="22761E3C"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D4097E9">
            <w:pPr>
              <w:pStyle w:val="SDSTableTextHeading1"/>
              <w:rPr>
                <w:noProof w:val="0"/>
                <w:color w:val="auto"/>
              </w:rPr>
            </w:pPr>
            <w:r w:rsidRPr="0069446B" w:rsidR="00FA7F7F">
              <w:rPr>
                <w:noProof/>
                <w:color w:val="auto"/>
              </w:rPr>
              <w:t>isoeugenol (97-54-1)</w:t>
            </w:r>
          </w:p>
        </w:tc>
      </w:tr>
      <w:tr w14:paraId="19C91D8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18B01BD1">
            <w:pPr>
              <w:pStyle w:val="SDSTableTextNormal"/>
              <w:rPr>
                <w:noProof w:val="0"/>
              </w:rPr>
            </w:pPr>
            <w:r w:rsidRPr="0069446B">
              <w:rPr>
                <w:noProof/>
              </w:rPr>
              <w:t>Toxicité spécifique pour certains organes cibles (STOT) (exposition unique)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581E3344">
            <w:pPr>
              <w:pStyle w:val="SDSTableTextNormal"/>
              <w:rPr>
                <w:noProof w:val="0"/>
                <w:lang w:val="fr-BE"/>
              </w:rPr>
            </w:pPr>
            <w:r w:rsidRPr="0069446B" w:rsidR="00FA7F7F">
              <w:rPr>
                <w:noProof/>
                <w:lang w:val="fr-BE"/>
              </w:rPr>
              <w:t>Peut irriter les voies respiratoires.</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cinnamaldehyde (104-55-2)</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de poids corporel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de poids corporel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(E)-1-(2,6,6-trimethyl-1,3-cyclohexadien-1-yl)-2-buten-1-one (23726-93-4)</w:t>
            </w:r>
          </w:p>
        </w:tc>
      </w:tr>
      <w:tr w14:paraId="17BB36C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5D6E007" w14:textId="362312DE">
            <w:pPr>
              <w:pStyle w:val="SDSTableTextNormal"/>
              <w:rPr>
                <w:noProof w:val="0"/>
              </w:rPr>
            </w:pPr>
            <w:r w:rsidRPr="0069446B" w:rsidR="00FA7F7F">
              <w:rPr>
                <w:noProof/>
              </w:rPr>
              <w:t>LOAEL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F5D4209" w14:textId="4442B51B">
            <w:pPr>
              <w:pStyle w:val="SDSTableTextNormal"/>
              <w:rPr>
                <w:noProof w:val="0"/>
                <w:lang w:val="fr-BE"/>
              </w:rPr>
            </w:pPr>
            <w:r w:rsidRPr="0069446B">
              <w:rPr>
                <w:noProof/>
                <w:lang w:val="fr-BE"/>
              </w:rPr>
              <w:t>500 mg/kg de poids corporel Animal: rat, Guideline: OECD Guideline 408 (Repeated Dose 90-Day Oral Toxicity Study in Rodents)</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de poids corporel Animal: rat, Animal sex: male,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clafoutis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benzaldehyde (100-52-7)</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19,7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33,1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8,05 mg/l Test organisms (species): Raphidocelis subcapitata (previous names: Pseudokirchneriella subcapitata, Selenastrum capricornutum)</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0,12 mg/l Test organisms (species): Pimephales promelas Duration: '7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2,35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(E)-1-(2,6,6-trimethyl-1,3-cyclohexadien-1-yl)-2-buten-1-one (23726-93-4)</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9 mg/l Test organisms (species): Daphnia sp.</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8,3 mg/l Test organisms (species): other:</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clafoutis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benzaldehyde (100-52-7)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(E)-1-(2,6,6-trimethyl-1,3-cyclohexadien-1-yl)-2-buten-1-one (23726-93-4)</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p w:rsidR="00A65092" w:rsidRPr="0069446B" w:rsidP="00A65092" w14:paraId="1965DBDA" w14:textId="0FFE3A91">
      <w:pPr>
        <w:pStyle w:val="SDSTextNormal"/>
      </w:pPr>
      <w:r>
        <w:rPr>
          <w:noProof/>
        </w:rPr>
        <w:t>Ne contient pas de substance(s) listée(s) dans l’Annexe XVII de REACH (Conditions de restriction)</w:t>
      </w:r>
    </w:p>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Directives nationales</w:t>
      </w:r>
    </w:p>
    <w:tbl>
      <w:tblPr>
        <w:tblStyle w:val="SDSTableWithoutBorders"/>
        <w:tblW w:w="10491" w:type="dxa"/>
        <w:tblLayout w:type="fixed"/>
        <w:tblLook w:val="04A0"/>
      </w:tblPr>
      <w:tblGrid>
        <w:gridCol w:w="10491"/>
      </w:tblGrid>
      <w:tr w14:paraId="5124EAC9" w14:textId="77777777" w:rsidTr="00CE2D83">
        <w:tblPrEx>
          <w:tblW w:w="10491" w:type="dxa"/>
          <w:tblLayout w:type="fixed"/>
          <w:tblLook w:val="04A0"/>
        </w:tblPrEx>
        <w:trPr>
          <w:trHeight w:val="20"/>
        </w:trPr>
        <w:tc>
          <w:tcPr>
            <w:tcW w:w="10491" w:type="dxa"/>
            <w:tcBorders>
              <w:top w:val="none" w:sz="0" w:space="0" w:color="000000"/>
              <w:left w:val="none" w:sz="0" w:space="0" w:color="000000"/>
              <w:bottom w:val="none" w:sz="0" w:space="0" w:color="000000"/>
              <w:right w:val="none" w:sz="0" w:space="0" w:color="000000"/>
            </w:tcBorders>
          </w:tcPr>
          <w:p w:rsidR="00F430DC" w:rsidRPr="0069446B" w:rsidP="005C557D" w14:paraId="5F4E1267" w14:textId="396498DA">
            <w:pPr>
              <w:pStyle w:val="SDSTextHeading4"/>
              <w:rPr>
                <w:color w:val="auto"/>
              </w:rPr>
            </w:pPr>
            <w:r w:rsidRPr="0069446B">
              <w:rPr>
                <w:color w:val="auto"/>
              </w:rPr>
              <w:t>Finlande</w:t>
            </w:r>
          </w:p>
        </w:tc>
      </w:tr>
      <w:tr w14:paraId="4EB0E7BB" w14:textId="77777777" w:rsidTr="00CE2D83">
        <w:tblPrEx>
          <w:tblW w:w="10491" w:type="dxa"/>
          <w:tblLayout w:type="fixed"/>
          <w:tblLook w:val="04A0"/>
        </w:tblPrEx>
        <w:trPr>
          <w:trHeight w:val="20"/>
        </w:trPr>
        <w:tc>
          <w:tcPr>
            <w:tcW w:w="10491" w:type="dxa"/>
            <w:tcBorders>
              <w:top w:val="none" w:sz="0" w:space="0" w:color="000000"/>
              <w:left w:val="none" w:sz="0" w:space="0" w:color="000000"/>
              <w:bottom w:val="none" w:sz="0" w:space="0" w:color="000000"/>
              <w:right w:val="none" w:sz="0" w:space="0" w:color="000000"/>
            </w:tcBorders>
          </w:tcPr>
          <w:p w:rsidR="00F430DC" w:rsidRPr="0069446B" w:rsidP="005C557D" w14:paraId="1DA7F00D" w14:textId="0E094761">
            <w:pPr>
              <w:pStyle w:val="SDSTextHeading4"/>
              <w:rPr>
                <w:color w:val="auto"/>
              </w:rPr>
            </w:pPr>
            <w:r w:rsidRPr="0069446B" w:rsidR="00FA7F7F">
              <w:rPr>
                <w:noProof/>
                <w:color w:val="auto"/>
              </w:rPr>
              <w:t>France</w:t>
            </w:r>
          </w:p>
        </w:tc>
      </w:tr>
      <w:tr w14:paraId="584C76DD" w14:textId="77777777" w:rsidTr="00CE2D83">
        <w:tblPrEx>
          <w:tblW w:w="10491" w:type="dxa"/>
          <w:tblLayout w:type="fixed"/>
          <w:tblLook w:val="04A0"/>
        </w:tblPrEx>
        <w:trPr>
          <w:cantSplit w:val="0"/>
          <w:trHeight w:val="20"/>
        </w:trPr>
        <w:tc>
          <w:tcPr>
            <w:tcW w:w="10491" w:type="dxa"/>
            <w:tcBorders>
              <w:top w:val="none" w:sz="0" w:space="0" w:color="000000"/>
              <w:left w:val="none" w:sz="0" w:space="0" w:color="000000"/>
              <w:bottom w:val="none" w:sz="0" w:space="0" w:color="000000"/>
              <w:right w:val="none" w:sz="0" w:space="0" w:color="000000"/>
            </w:tcBorders>
          </w:tcPr>
          <w:tbl>
            <w:tblPr>
              <w:tblStyle w:val="SDSTableWithBordersWithHeaderRow"/>
              <w:tblW w:w="10477" w:type="dxa"/>
              <w:tblLayout w:type="fixed"/>
              <w:tblLook w:val="04A0"/>
            </w:tblPr>
            <w:tblGrid>
              <w:gridCol w:w="1981"/>
              <w:gridCol w:w="8496"/>
            </w:tblGrid>
            <w:tr w14:paraId="1ECC5E7E" w14:textId="77777777" w:rsidTr="00CE2D83">
              <w:tblPrEx>
                <w:tblW w:w="10477" w:type="dxa"/>
                <w:tblLayout w:type="fixed"/>
                <w:tblLook w:val="04A0"/>
              </w:tblPrEx>
              <w:trPr>
                <w:trHeight w:val="20"/>
                <w:tblHeader/>
              </w:trPr>
              <w:tc>
                <w:tcPr>
                  <w:tcW w:w="10477"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15A19" w14:paraId="3893F28A" w14:textId="29FBBBED">
                  <w:pPr>
                    <w:pStyle w:val="SDSTableTextBold"/>
                    <w:keepNext w:val="0"/>
                  </w:pPr>
                  <w:r w:rsidRPr="0069446B" w:rsidR="00290951">
                    <w:t>Maladies professionnelles</w:t>
                  </w:r>
                </w:p>
              </w:tc>
            </w:tr>
            <w:tr w14:paraId="6BEF88BE" w14:textId="77777777" w:rsidTr="00CE2D83">
              <w:tblPrEx>
                <w:tblW w:w="10477" w:type="dxa"/>
                <w:tblLayout w:type="fixed"/>
                <w:tblLook w:val="04A0"/>
              </w:tblPrEx>
              <w:trPr>
                <w:trHeight w:val="20"/>
                <w:tblHeader/>
              </w:trPr>
              <w:tc>
                <w:tcPr>
                  <w:tcW w:w="198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C557D" w14:paraId="2151D0C1" w14:textId="13782F1F">
                  <w:pPr>
                    <w:pStyle w:val="SDSTableTextNormal"/>
                  </w:pPr>
                  <w:r w:rsidRPr="0069446B" w:rsidR="00290951">
                    <w:t>Code</w:t>
                  </w:r>
                </w:p>
              </w:tc>
              <w:tc>
                <w:tcPr>
                  <w:tcW w:w="849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C557D" w14:paraId="5AC252CE" w14:textId="5E703CA3">
                  <w:pPr>
                    <w:pStyle w:val="SDSTableTextNormal"/>
                  </w:pPr>
                  <w:r w:rsidRPr="0069446B">
                    <w:rPr>
                      <w:noProof/>
                    </w:rPr>
                    <w:t>Description</w:t>
                  </w:r>
                </w:p>
              </w:tc>
            </w:tr>
            <w:tr w14:paraId="6BB13145" w14:textId="77777777" w:rsidTr="00CE2D83">
              <w:tblPrEx>
                <w:tblW w:w="10477" w:type="dxa"/>
                <w:tblLayout w:type="fixed"/>
                <w:tblLook w:val="04A0"/>
              </w:tblPrEx>
              <w:trPr>
                <w:trHeight w:val="676"/>
              </w:trPr>
              <w:tc>
                <w:tcPr>
                  <w:tcW w:w="198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C557D" w14:paraId="5F5DCE0B" w14:textId="534EAEAF">
                  <w:pPr>
                    <w:pStyle w:val="SDSTableTextNormal"/>
                    <w:rPr>
                      <w:noProof w:val="0"/>
                    </w:rPr>
                  </w:pPr>
                  <w:r w:rsidRPr="0069446B" w:rsidR="00FA7F7F">
                    <w:rPr>
                      <w:noProof/>
                    </w:rPr>
                    <w:t>RG 84</w:t>
                  </w:r>
                </w:p>
              </w:tc>
              <w:tc>
                <w:tcPr>
                  <w:tcW w:w="849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C557D" w14:paraId="2CB660ED" w14:textId="088BFBA8">
                  <w:pPr>
                    <w:pStyle w:val="SDSTableTextNormal"/>
                    <w:rPr>
                      <w:noProof w:val="0"/>
                    </w:rPr>
                  </w:pPr>
                  <w:r w:rsidRPr="0069446B">
                    <w:rPr>
                      <w:noProof/>
                    </w:rPr>
                    <w:t>Affections engendrées par les solvants organiques liquides à usage professionnel : hydrocarbures liquides aliphatiques ou cycliques saturés ou insaturés et leurs mélanges ; hydrocarbures halogénés liquides ; dérivés nitrés des hydrocarbures aliphatiques ; alcools ; glycols, éthers de glycol ; cétones ; aldéhydes ; éthers aliphatiques et cycliques, dont le tétrahydrofurane ; esters ; diméthylformamide et dimétylacétamine ; acétonitrile et propionitrile ; pyridine ; diméthylsulfone et diméthylsulfoxyde</w:t>
                  </w:r>
                </w:p>
              </w:tc>
            </w:tr>
          </w:tbl>
          <w:p w:rsidR="00F430DC" w:rsidRPr="0069446B" w:rsidP="005C557D" w14:paraId="07BC27B8" w14:textId="77777777">
            <w:pPr>
              <w:pStyle w:val="SDSTableTextNormal"/>
            </w:pP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Inhalation),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cutanée)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cutanée), catégorie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orale), catégorie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pour la reproduction, catégorie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spécifique pour certains organes cibles – Exposition unique, catégorie 3, Irritation des voies respiratoires</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contact cutané.</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inhalation.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irriter les voies respiratoires.</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Susceptible de nuire à la fertilité ou au fœtus.</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24/08/2026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24/08/2026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clafoutis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clafoutis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24/08/2026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8F28021D-BA60-4903-9357-DD4B5E8D1ED4}"/>
</file>

<file path=customXml/itemProps3.xml><?xml version="1.0" encoding="utf-8"?>
<ds:datastoreItem xmlns:ds="http://schemas.openxmlformats.org/officeDocument/2006/customXml" ds:itemID="{1D82BB24-2519-49B6-83C3-79C7B914EDBC}"/>
</file>

<file path=customXml/itemProps4.xml><?xml version="1.0" encoding="utf-8"?>
<ds:datastoreItem xmlns:ds="http://schemas.openxmlformats.org/officeDocument/2006/customXml" ds:itemID="{E8886F32-2333-4D6F-ABBC-4FA397E79863}"/>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