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cinnamon roll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Alcool benzylique; coumarin; 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0,49413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Epicée.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poids corporel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male, Guideline: OECD Guideline 423 (Acute Oral toxicity - Acute Toxic Class Method)</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poids corporel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poids corporel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poids corporel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cinnamon roll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cinnamon roll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benzaldehyde ; Alcool benzylique ; 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cinnamon roll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cinnamon roll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01/10/2026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F2DD8B2-A89E-4947-8FF6-F9528A465DBE}"/>
</file>

<file path=customXml/itemProps3.xml><?xml version="1.0" encoding="utf-8"?>
<ds:datastoreItem xmlns:ds="http://schemas.openxmlformats.org/officeDocument/2006/customXml" ds:itemID="{09FB7BB8-D05C-43EB-97DF-B4216BE55CFB}"/>
</file>

<file path=customXml/itemProps4.xml><?xml version="1.0" encoding="utf-8"?>
<ds:datastoreItem xmlns:ds="http://schemas.openxmlformats.org/officeDocument/2006/customXml" ds:itemID="{3021F1E7-E0C8-4993-A9A9-FE9840F27BC2}"/>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