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cerise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Dangereux pour le milieu aquatique – Danger chronique, catégorie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Pr>
          <w:noProof/>
        </w:rPr>
        <w:t>Peut provoquer une allergie cutanée. Nocif pour les organismes aquatiques, entraîne des effets néfastes à long terme.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cinnamaldehyde; d-limonene; coumarin; (E)-1-(2,6,6-trimethyl-1,3-cyclohexadien-1-yl)-2-buten-1-one; benzyl salicylate; Acétate de 4-tert-butylcyclohexyle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Peut provoquer une allergie cutanée.</w:t>
              <w:br/>
              <w:t>H412 - Nocif pour les organismes aquatiques, entraîne des effets néfastes à long terme.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P273 - Éviter le rejet dans l’environnement.</w:t>
              <w:br/>
              <w:t>P302+P352 - EN CAS DE CONTACT AVEC LA PEAU: laver abondamment à l’eau et au savon.</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F82798" w:rsidRPr="0069446B" w:rsidP="00A727C2" w14:paraId="2F7B68FE" w14:textId="77777777">
      <w:pPr>
        <w:pStyle w:val="SDSTextNormal"/>
      </w:pPr>
      <w:bookmarkStart w:id="1" w:name="_Hlk54075109"/>
    </w:p>
    <w:tbl>
      <w:tblPr>
        <w:tblStyle w:val="SDSTableWithBordersWithHeaderRow"/>
        <w:tblW w:w="10490" w:type="dxa"/>
        <w:tblLayout w:type="fixed"/>
        <w:tblLook w:val="04A0"/>
      </w:tblPr>
      <w:tblGrid>
        <w:gridCol w:w="3969"/>
        <w:gridCol w:w="6521"/>
      </w:tblGrid>
      <w:tr w14:paraId="13196026" w14:textId="77777777" w:rsidTr="0069446B">
        <w:tblPrEx>
          <w:tblW w:w="10490" w:type="dxa"/>
          <w:tblLayout w:type="fixed"/>
          <w:tblLook w:val="04A0"/>
        </w:tblPrEx>
        <w:trPr>
          <w:trHeight w:val="20"/>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47BAF" w:rsidRPr="0069446B" w:rsidP="006A5033" w14:paraId="1A60EAB8" w14:textId="6DC03C18">
            <w:pPr>
              <w:pStyle w:val="SDSTableTextHeading1"/>
              <w:rPr>
                <w:noProof w:val="0"/>
                <w:color w:val="auto"/>
              </w:rPr>
            </w:pPr>
            <w:r w:rsidRPr="0069446B" w:rsidR="00FA7F7F">
              <w:rPr>
                <w:noProof/>
                <w:color w:val="auto"/>
              </w:rPr>
              <w:t>Composant</w:t>
            </w:r>
          </w:p>
        </w:tc>
      </w:tr>
      <w:tr w14:paraId="23F93DF0"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paraId="31F2666E" w14:textId="005CD678">
            <w:pPr>
              <w:pStyle w:val="SDSTableTextNormal"/>
              <w:rPr>
                <w:noProof w:val="0"/>
              </w:rPr>
            </w:pPr>
            <w:r w:rsidRPr="0069446B">
              <w:rPr>
                <w:noProof/>
              </w:rPr>
              <w:t>Substance(s) ne répondant pas aux critères PBT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paraId="3E334B8C" w14:textId="77494AAD">
            <w:pPr>
              <w:pStyle w:val="SDSTableTextNormal"/>
              <w:rPr>
                <w:noProof w:val="0"/>
              </w:rPr>
            </w:pPr>
            <w:r w:rsidRPr="0069446B">
              <w:rPr>
                <w:noProof/>
              </w:rPr>
              <w:t>1,3,4,6,7,8-hexahydro-4,6,6,7,8,8-hexamethylindeno[5,6-c]pyran (1222-05-5)</w:t>
            </w:r>
          </w:p>
        </w:tc>
      </w:tr>
      <w:tr w14:paraId="23F93DF1" w14:textId="77777777" w:rsidTr="0069446B">
        <w:tblPrEx>
          <w:tblW w:w="10490" w:type="dxa"/>
          <w:tblLayout w:type="fixed"/>
          <w:tblLook w:val="04A0"/>
        </w:tblPrEx>
        <w:trPr>
          <w:trHeight w:val="20"/>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C229FC" w14:textId="005CD678">
            <w:pPr>
              <w:pStyle w:val="SDSTableTextNormal"/>
              <w:rPr>
                <w:noProof w:val="0"/>
              </w:rPr>
            </w:pPr>
            <w:r w:rsidRPr="0069446B">
              <w:rPr>
                <w:noProof/>
              </w:rPr>
              <w:t>Substance(s) ne répondant pas aux critères vPvB du règlement REACH, conformément à l’annexe XIII</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602F2A" w:rsidRPr="0069446B" w:rsidP="009B5935" w14:textId="77494AAD">
            <w:pPr>
              <w:pStyle w:val="SDSTableTextNormal"/>
              <w:rPr>
                <w:noProof w:val="0"/>
              </w:rPr>
            </w:pPr>
            <w:r w:rsidRPr="0069446B">
              <w:rPr>
                <w:noProof/>
              </w:rPr>
              <w:t>1,3,4,6,7,8-hexahydro-4,6,6,7,8,8-hexamethylindeno[5,6-c]pyran (1222-05-5)</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2"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2"/>
    </w:tbl>
    <w:p w:rsidR="00B072A8" w:rsidRPr="0069446B" w:rsidP="00B072A8" w14:paraId="7788D936" w14:textId="77777777">
      <w:pPr>
        <w:pStyle w:val="SDSTextBlankLine"/>
      </w:pPr>
    </w:p>
    <w:bookmarkEnd w:id="1"/>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0,9604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(par voie orale), H302 (ATE=500 mg/kg de poids corporel)</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203-212-3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Repr. 2, H361</w:t>
              <w:br/>
              <w:t>Aquatic Chronic 3, H412</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1,3,4,6,7,8-hexahydro-4,6,6,7,8,8-hexamethylindeno[5,6-c]pyran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1222-05-5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214-946-9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603-212-00-7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Acétate de 4-tert-butylcyclohexyle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91-64-5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202-086-7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0,5831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Acute Tox. 4 (par inhalation), H332 (ATE=3 mg/l/4h)</w:t>
              <w:br/>
              <w:t>Skin Irrit. 2, H315</w:t>
              <w:br/>
              <w:t>Eye Irrit. 2, H319</w:t>
              <w:br/>
              <w:t>Repr. 2, H361</w:t>
              <w:br/>
              <w:t>STOT SE 3, H335</w:t>
              <w:br/>
              <w:t>Aquatic Chronic 2, H411</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0,3381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118-58-1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204-262-9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607-754-00-5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Eye Irrit. 2, H319</w:t>
              <w:br/>
              <w:t>Skin Sens. 1B, H317</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0,11669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r w14:paraId="73AD14F7"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(E)-1-(2,6,6-trimethyl-1,3-cyclohexadien-1-yl)-2-buten-1-one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23726-93-4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245-844-2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0,0119</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inhalation), H332 (ATE=1,5 mg/l/4h)</w:t>
              <w:br/>
              <w:t>Skin Irrit. 2, H315</w:t>
              <w:br/>
              <w:t>Skin Sens. 1A, H317</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Fruitée.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cinnamaldehyde (104-55-2)</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de poids corporel Animal: rat, Animal sex: male, Guideline: OECD Guideline 401 (Acute Oral Toxicity), 95% CL: 1,33 - 1,54</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1 – 5 mg/l air Animal: rat, Guideline: OECD Guideline 436 (Acute Inhalation Toxicity: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anisaldehyde (123-11-5)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3210 mg/kg de poids corporel Animal: rat, Guideline: OECD Guideline 401 (Acute Oral Toxicity), 95% CL: 2755 - 3600</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Animal sex: female, Guideline: OECD Guideline 402 (Acute Dermal Toxicity)</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coumarin (91-64-5)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293 mg/kg de poids corporel Animal: rat, Guideline: other:</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293 mg/kg de poids corporel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1,3,4,6,7,8-hexahydro-4,6,6,7,8,8-hexamethylindeno[5,6-c]pyran (1222-05-5)</w:t>
            </w:r>
          </w:p>
        </w:tc>
      </w:tr>
      <w:tr w14:paraId="02D6B5AF"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Animal sex: female, Guideline: OECD Guideline 423 (Acute Oral toxicity - Acute Toxic Class Method)</w:t>
            </w:r>
          </w:p>
        </w:tc>
      </w:tr>
      <w:tr w14:paraId="14A1065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de poids corporel Animal: rat, Guideline: OECD Guideline 402 (Acute Dermal Toxicity)</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CL50 Inhalation -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&gt; 5,04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1"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(E)-1-(2,6,6-trimethyl-1,3-cyclohexadien-1-yl)-2-buten-1-one (23726-93-4)</w:t>
            </w:r>
          </w:p>
        </w:tc>
      </w:tr>
      <w:tr w14:paraId="02D6B5B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poids corporel Animal: rat, Guideline: EU Method B.1 (Acute Toxicity (Oral))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2"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salicylate (118-58-1)</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de poids corporel Animal: rabbit,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3"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Acétate de 4-tert-butylcyclohexyle (32210-23-4)</w:t>
            </w:r>
          </w:p>
        </w:tc>
      </w:tr>
      <w:tr w14:paraId="02D6B5B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poids corporel Animal: rat, Animal sex: female, Guideline: OECD Guideline 420 (Acute Oral Toxicity - Fixed Dose Method), Guideline: EU Method B.1 bis (Acute Oral Toxicity - Fixed Dose Procedure)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anisaldehyde (123-11-5)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anisaldehyde (123-11-5)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4,71 Temp.: 26,5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poids corporel Animal: rat, Animal sex: female, Guideline: other:</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5"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coumarin (91-64-5)</w:t>
            </w:r>
          </w:p>
        </w:tc>
      </w:tr>
      <w:tr w14:paraId="7F5CEB5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&gt; 333 mg/kg de poids corporel Animal: rat, Animal sex: female</w:t>
            </w:r>
          </w:p>
        </w:tc>
      </w:tr>
    </w:tbl>
    <w:p w:rsidR="00827634" w:rsidRPr="0069446B" w:rsidP="002B741C" w14:textId="7F962CBB">
      <w:pPr>
        <w:pStyle w:val="SDSTextBlankLine"/>
      </w:pPr>
    </w:p>
    <w:tbl>
      <w:tblPr>
        <w:tblStyle w:val="SDSTableWithBordersWithHeaderRow"/>
        <w:tblW w:w="10489" w:type="dxa"/>
        <w:tblLayout w:type="fixed"/>
        <w:tblLook w:val="04A0"/>
      </w:tblPr>
      <w:tblGrid>
        <w:gridCol w:w="3969"/>
        <w:gridCol w:w="6520"/>
      </w:tblGrid>
      <w:tr w14:paraId="5BFA0C56"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CAF514">
            <w:pPr>
              <w:pStyle w:val="SDSTableTextHeading1"/>
              <w:rPr>
                <w:noProof w:val="0"/>
                <w:color w:val="auto"/>
              </w:rPr>
            </w:pPr>
            <w:r w:rsidRPr="0069446B" w:rsidR="00FA7F7F">
              <w:rPr>
                <w:noProof/>
                <w:color w:val="auto"/>
              </w:rPr>
              <w:t>benzyl salicylate (118-58-1)</w:t>
            </w:r>
          </w:p>
        </w:tc>
      </w:tr>
      <w:tr w14:paraId="7F5CEB60"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6472993">
            <w:pPr>
              <w:pStyle w:val="SDSTableTextNormal"/>
              <w:rPr>
                <w:noProof w:val="0"/>
              </w:rPr>
            </w:pPr>
            <w:r w:rsidRPr="0069446B" w:rsidR="00FA7F7F">
              <w:rPr>
                <w:noProof/>
              </w:rPr>
              <w:t>NOAEL (animal/femelle,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98BF6E9">
            <w:pPr>
              <w:pStyle w:val="SDSTableTextNormal"/>
              <w:rPr>
                <w:noProof w:val="0"/>
              </w:rPr>
            </w:pPr>
            <w:r w:rsidRPr="0069446B">
              <w:rPr>
                <w:noProof/>
              </w:rPr>
              <w:t>158 mg/kg de poids corporel Animal: rat, Animal sex: female, Guideline: OECD Guideline 421 (Reproduction / Developmental Toxicity Screening Test)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Pr>
                <w:noProof/>
              </w:rPr>
              <w:t>Toxicité spécifique pour certains organes cibles (STOT) (exposition unique)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Peut irriter les voies respiratoires.</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anisaldehyde (123-11-5)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coumarin (91-64-5)</w:t>
            </w:r>
          </w:p>
        </w:tc>
      </w:tr>
      <w:tr w14:paraId="72CFCCBC"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7E7D595" w14:textId="5F431561">
            <w:pPr>
              <w:pStyle w:val="SDSTableTextNormal"/>
              <w:rPr>
                <w:noProof w:val="0"/>
              </w:rPr>
            </w:pPr>
            <w:r w:rsidRPr="0069446B" w:rsidR="00FA7F7F">
              <w:rPr>
                <w:noProof/>
              </w:rPr>
              <w:t>NOAEL (subchronique, oral, animal/femelle,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3F96CCC" w14:textId="62AACB73">
            <w:pPr>
              <w:pStyle w:val="SDSTableTextNormal"/>
              <w:rPr>
                <w:noProof w:val="0"/>
              </w:rPr>
            </w:pPr>
            <w:r w:rsidRPr="0069446B">
              <w:rPr>
                <w:noProof/>
              </w:rPr>
              <w:t>&gt; 138,3 mg/kg de poids corporel Animal: mouse,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(cutané, rat/lapin,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781 mg/kg de poids corporel Animal: rat, Guideline: OECD Guideline 410 (Repeated Dose Dermal Toxicity: 21/28-Day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1,3,4,6,7,8-hexahydro-4,6,6,7,8,8-hexamethylindeno[5,6-c]pyran (1222-05-5)</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150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E"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(E)-1-(2,6,6-trimethyl-1,3-cyclohexadien-1-yl)-2-buten-1-one (23726-93-4)</w:t>
            </w:r>
          </w:p>
        </w:tc>
      </w:tr>
      <w:tr w14:paraId="17BB36C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45D6E007" w14:textId="362312DE">
            <w:pPr>
              <w:pStyle w:val="SDSTableTextNormal"/>
              <w:rPr>
                <w:noProof w:val="0"/>
              </w:rPr>
            </w:pPr>
            <w:r w:rsidRPr="0069446B" w:rsidR="00FA7F7F">
              <w:rPr>
                <w:noProof/>
              </w:rPr>
              <w:t>LOAEL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5F5D4209" w14:textId="4442B51B">
            <w:pPr>
              <w:pStyle w:val="SDSTableTextNormal"/>
              <w:rPr>
                <w:noProof w:val="0"/>
                <w:lang w:val="fr-BE"/>
              </w:rPr>
            </w:pPr>
            <w:r w:rsidRPr="0069446B">
              <w:rPr>
                <w:noProof/>
                <w:lang w:val="fr-BE"/>
              </w:rPr>
              <w:t>500 mg/kg de poids corporel Animal: rat, Guideline: OECD Guideline 408 (Repeated Dose 90-Day Oral Toxicity Study in Rodents)</w:t>
            </w:r>
          </w:p>
        </w:tc>
      </w:tr>
      <w:tr w14:paraId="07CBBCD8"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de poids corporel Animal: rat, Animal sex: male,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F"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salicylate (118-58-1)</w:t>
            </w:r>
          </w:p>
        </w:tc>
      </w:tr>
      <w:tr w14:paraId="07CBBCD9"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177 mg/kg de poids corporel Animal: rat, Guideline: OECD Guideline 408 (Repeated Dose 90-Day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cerise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Informations sur les autres dangers</w:t>
      </w:r>
      <w:bookmarkEnd w:id="3"/>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Nocif pour les organismes aquatiques, entraîne des effets néfastes à long terme.</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Nocif pour les organismes aquatiques, entraîne des effets néfastes à long terme.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cinnamaldehyde (104-55-2)</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2,35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Crustacés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anisaldehyde (123-11-5)</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148,32 mg/l Test organisms (species): Leuciscus idus</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82,8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coumarin (91-64-5)</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2,94 mg/l Test organisms (species):</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Poisson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sidR="00FA7F7F">
              <w:rPr>
                <w:noProof/>
              </w:rPr>
              <w:t>1,324 mg/l Test organisms (species):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8,012 mg/l Test organisms (species): Daphnia sp.</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1,452 mg/l Test organisms (species):</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0,5 mg/l Test organisms (species):  Duration: '21 d'</w:t>
            </w:r>
          </w:p>
        </w:tc>
      </w:tr>
      <w:tr w14:paraId="0795A5B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0,191 mg/l Test organisms (species):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1,3,4,6,7,8-hexahydro-4,6,6,7,8,8-hexamethylindeno[5,6-c]pyran (1222-05-5)</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0,95 mg/l Test organisms (species): Oryzias latipes</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0,194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0,854 mg/l Test organisms (species): Raphidocelis subcapitata (previous names: Pseudokirchneriella subcapitata, Selenastrum capricornutum)</w:t>
            </w:r>
          </w:p>
        </w:tc>
      </w:tr>
      <w:tr w14:paraId="14947BF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0,723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0,075 mg/l Test organisms (species): other aquatic crustacea: Duration: '5,5 d'</w:t>
            </w:r>
          </w:p>
        </w:tc>
      </w:tr>
      <w:tr w14:paraId="4F2507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0,111 mg/l Test organisms (species): Daphnia magna Duration: '21 d'</w:t>
            </w:r>
          </w:p>
        </w:tc>
      </w:tr>
      <w:tr w14:paraId="0795A5B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0,068 mg/l Test organisms (species): Pimephales promelas Duration: '36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(E)-1-(2,6,6-trimethyl-1,3-cyclohexadien-1-yl)-2-buten-1-one (23726-93-4)</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Danio rerio (previous name: Brachydanio rerio)</w:t>
            </w:r>
          </w:p>
        </w:tc>
      </w:tr>
      <w:tr w14:paraId="758D63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sp.</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8,3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salicylate (118-58-1)</w:t>
            </w:r>
          </w:p>
        </w:tc>
      </w:tr>
      <w:tr w14:paraId="562CCB6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1,03 mg/l Test organisms (species): Danio rerio (previous name: Brachydanio rerio)</w:t>
            </w:r>
          </w:p>
        </w:tc>
      </w:tr>
      <w:tr w14:paraId="758D63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1,16 mg/l Test organisms (species): Daphnia magna</w:t>
            </w:r>
          </w:p>
        </w:tc>
      </w:tr>
      <w:tr w14:paraId="66FAA36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0,691 mg/l Test organisms (species): Raphidocelis subcapitata (previous names: Pseudokirchneriella subcapitata, Selenastrum capricornutum)</w:t>
            </w:r>
          </w:p>
        </w:tc>
      </w:tr>
      <w:tr w14:paraId="14947BF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Algues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1,29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Acétate de 4-tert-butylcyclohexyle (32210-23-4)</w:t>
            </w:r>
          </w:p>
        </w:tc>
      </w:tr>
      <w:tr w14:paraId="562CCB6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6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cerise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cinnamaldehyde (104-55-2)</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anisaldehyde (123-11-5)</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coumarin (91-64-5)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1,3,4,6,7,8-hexahydro-4,6,6,7,8,8-hexamethylindeno[5,6-c]pyran (1222-05-5)</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(E)-1-(2,6,6-trimethyl-1,3-cyclohexadien-1-yl)-2-buten-1-one (23726-93-4)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salicylate (118-58-1)</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Acétate de 4-tert-butylcyclohexyle (32210-23-4)</w:t>
            </w:r>
          </w:p>
        </w:tc>
      </w:tr>
      <w:tr w14:paraId="2D6A99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tbl>
      <w:tblPr>
        <w:tblStyle w:val="SDSTableWithBordersWithHeaderRow"/>
        <w:tblW w:w="10489" w:type="dxa"/>
        <w:tblLayout w:type="fixed"/>
        <w:tblLook w:val="04A0"/>
      </w:tblPr>
      <w:tblGrid>
        <w:gridCol w:w="3969"/>
        <w:gridCol w:w="6520"/>
      </w:tblGrid>
      <w:tr w14:paraId="65F46652" w14:textId="77777777" w:rsidTr="000B54DE">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16EB8FB2" w14:textId="2F7C4654">
            <w:pPr>
              <w:pStyle w:val="SDSTableTextHeading1"/>
              <w:rPr>
                <w:noProof w:val="0"/>
                <w:color w:val="auto"/>
              </w:rPr>
            </w:pPr>
            <w:r w:rsidRPr="0069446B" w:rsidR="00FA7F7F">
              <w:rPr>
                <w:noProof/>
                <w:color w:val="auto"/>
              </w:rPr>
              <w:t>Composant</w:t>
            </w:r>
          </w:p>
        </w:tc>
      </w:tr>
      <w:tr w14:paraId="289CAF46"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6C063CA4" w14:textId="0A1F9996">
            <w:pPr>
              <w:pStyle w:val="SDSTableTextNormal"/>
              <w:rPr>
                <w:noProof w:val="0"/>
              </w:rPr>
            </w:pPr>
            <w:r w:rsidRPr="0069446B">
              <w:rPr>
                <w:noProof/>
              </w:rPr>
              <w:t>Substance(s) ne répondant pas aux critères PBT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paraId="2199E96D" w14:textId="5272AD0E">
            <w:pPr>
              <w:pStyle w:val="SDSTableTextNormal"/>
              <w:rPr>
                <w:noProof w:val="0"/>
              </w:rPr>
            </w:pPr>
            <w:r w:rsidRPr="0069446B" w:rsidR="00FA7F7F">
              <w:rPr>
                <w:noProof/>
              </w:rPr>
              <w:t>1,3,4,6,7,8-hexahydro-4,6,6,7,8,8-hexamethylindeno[5,6-c]pyran (1222-05-5)</w:t>
            </w:r>
          </w:p>
        </w:tc>
      </w:tr>
      <w:tr w14:paraId="289CAF47" w14:textId="77777777" w:rsidTr="000B54D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0A1F9996">
            <w:pPr>
              <w:pStyle w:val="SDSTableTextNormal"/>
              <w:rPr>
                <w:noProof w:val="0"/>
              </w:rPr>
            </w:pPr>
            <w:r w:rsidRPr="0069446B">
              <w:rPr>
                <w:noProof/>
              </w:rPr>
              <w:t>Substance(s) ne répondant pas aux critères vPvB du règlement REACH, conformément à l’annexe XIII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9F53E3" w:rsidRPr="0069446B" w:rsidP="000B54DE" w14:textId="5272AD0E">
            <w:pPr>
              <w:pStyle w:val="SDSTableTextNormal"/>
              <w:rPr>
                <w:noProof w:val="0"/>
              </w:rPr>
            </w:pPr>
            <w:r w:rsidRPr="0069446B" w:rsidR="00FA7F7F">
              <w:rPr>
                <w:noProof/>
              </w:rPr>
              <w:t>1,3,4,6,7,8-hexahydro-4,6,6,7,8,8-hexamethylindeno[5,6-c]pyran (1222-05-5)</w:t>
            </w:r>
          </w:p>
        </w:tc>
      </w:tr>
    </w:tbl>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4"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Code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“Écotoxique”: déchet qui présente ou peut présenter des risques immédiats ou différés pour une ou plusieurs composantes de l’environnement.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cinnamaldehyde ; d-limonene ; benzaldehyde ; anisaldehyde ; alpha-pinene ; benzyl benzoate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alpha-pinene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2.1 à 2.4, 2.6 et 2.7, 2.8 types A et B, 2.9, 2.10, 2.12, 2.13 catégories 1 et 2, 2.14 catégories 1 et 2, 2.15 types A à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cinnamaldehyde ; d-limonene ; benzaldehyde ; anisaldehyde ; alpha-pinene ; benzyl benzoate ; 1,3,4,6,7,8-hexahydro-4,6,6,7,8,8-hexamethylindeno[5,6-c]pyran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Directives nationales</w:t>
      </w:r>
    </w:p>
    <w:tbl>
      <w:tblPr>
        <w:tblStyle w:val="SDSTableWithoutBorders"/>
        <w:tblW w:w="10491" w:type="dxa"/>
        <w:tblLayout w:type="fixed"/>
        <w:tblLook w:val="04A0"/>
      </w:tblPr>
      <w:tblGrid>
        <w:gridCol w:w="10491"/>
      </w:tblGrid>
      <w:tr w14:paraId="5124EAC9"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5F4E1267" w14:textId="396498DA">
            <w:pPr>
              <w:pStyle w:val="SDSTextHeading4"/>
              <w:rPr>
                <w:color w:val="auto"/>
              </w:rPr>
            </w:pPr>
            <w:r w:rsidRPr="0069446B">
              <w:rPr>
                <w:color w:val="auto"/>
              </w:rPr>
              <w:t>Finlande</w:t>
            </w:r>
          </w:p>
        </w:tc>
      </w:tr>
      <w:tr w14:paraId="4EB0E7BB" w14:textId="77777777" w:rsidTr="00CE2D83">
        <w:tblPrEx>
          <w:tblW w:w="10491" w:type="dxa"/>
          <w:tblLayout w:type="fixed"/>
          <w:tblLook w:val="04A0"/>
        </w:tblPrEx>
        <w:trPr>
          <w:trHeight w:val="20"/>
        </w:trPr>
        <w:tc>
          <w:tcPr>
            <w:tcW w:w="10491" w:type="dxa"/>
            <w:tcBorders>
              <w:top w:val="none" w:sz="0" w:space="0" w:color="000000"/>
              <w:left w:val="none" w:sz="0" w:space="0" w:color="000000"/>
              <w:bottom w:val="none" w:sz="0" w:space="0" w:color="000000"/>
              <w:right w:val="none" w:sz="0" w:space="0" w:color="000000"/>
            </w:tcBorders>
          </w:tcPr>
          <w:p w:rsidR="00F430DC" w:rsidRPr="0069446B" w:rsidP="005C557D" w14:paraId="1DA7F00D" w14:textId="0E094761">
            <w:pPr>
              <w:pStyle w:val="SDSTextHeading4"/>
              <w:rPr>
                <w:color w:val="auto"/>
              </w:rPr>
            </w:pPr>
            <w:r w:rsidRPr="0069446B" w:rsidR="00FA7F7F">
              <w:rPr>
                <w:noProof/>
                <w:color w:val="auto"/>
              </w:rPr>
              <w:t>France</w:t>
            </w:r>
          </w:p>
        </w:tc>
      </w:tr>
      <w:tr w14:paraId="584C76DD" w14:textId="77777777" w:rsidTr="00CE2D83">
        <w:tblPrEx>
          <w:tblW w:w="10491" w:type="dxa"/>
          <w:tblLayout w:type="fixed"/>
          <w:tblLook w:val="04A0"/>
        </w:tblPrEx>
        <w:trPr>
          <w:cantSplit w:val="0"/>
          <w:trHeight w:val="20"/>
        </w:trPr>
        <w:tc>
          <w:tcPr>
            <w:tcW w:w="10491" w:type="dxa"/>
            <w:tcBorders>
              <w:top w:val="none" w:sz="0" w:space="0" w:color="000000"/>
              <w:left w:val="none" w:sz="0" w:space="0" w:color="000000"/>
              <w:bottom w:val="none" w:sz="0" w:space="0" w:color="000000"/>
              <w:right w:val="none" w:sz="0" w:space="0" w:color="000000"/>
            </w:tcBorders>
          </w:tcPr>
          <w:tbl>
            <w:tblPr>
              <w:tblStyle w:val="SDSTableWithBordersWithHeaderRow"/>
              <w:tblW w:w="10477" w:type="dxa"/>
              <w:tblLayout w:type="fixed"/>
              <w:tblLook w:val="04A0"/>
            </w:tblPr>
            <w:tblGrid>
              <w:gridCol w:w="1981"/>
              <w:gridCol w:w="8496"/>
            </w:tblGrid>
            <w:tr w14:paraId="1ECC5E7E" w14:textId="77777777" w:rsidTr="00CE2D83">
              <w:tblPrEx>
                <w:tblW w:w="10477" w:type="dxa"/>
                <w:tblLayout w:type="fixed"/>
                <w:tblLook w:val="04A0"/>
              </w:tblPrEx>
              <w:trPr>
                <w:trHeight w:val="20"/>
                <w:tblHeader/>
              </w:trPr>
              <w:tc>
                <w:tcPr>
                  <w:tcW w:w="10477"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15A19" w14:paraId="3893F28A" w14:textId="29FBBBED">
                  <w:pPr>
                    <w:pStyle w:val="SDSTableTextBold"/>
                    <w:keepNext w:val="0"/>
                  </w:pPr>
                  <w:r w:rsidRPr="0069446B" w:rsidR="00290951">
                    <w:t>Maladies professionnelles</w:t>
                  </w:r>
                </w:p>
              </w:tc>
            </w:tr>
            <w:tr w14:paraId="6BEF88BE" w14:textId="77777777" w:rsidTr="00CE2D83">
              <w:tblPrEx>
                <w:tblW w:w="10477" w:type="dxa"/>
                <w:tblLayout w:type="fixed"/>
                <w:tblLook w:val="04A0"/>
              </w:tblPrEx>
              <w:trPr>
                <w:trHeight w:val="20"/>
                <w:tblHeader/>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151D0C1" w14:textId="13782F1F">
                  <w:pPr>
                    <w:pStyle w:val="SDSTableTextNormal"/>
                  </w:pPr>
                  <w:r w:rsidRPr="0069446B" w:rsidR="00290951">
                    <w:t>Code</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AC252CE" w14:textId="5E703CA3">
                  <w:pPr>
                    <w:pStyle w:val="SDSTableTextNormal"/>
                  </w:pPr>
                  <w:r w:rsidRPr="0069446B">
                    <w:rPr>
                      <w:noProof/>
                    </w:rPr>
                    <w:t>Description</w:t>
                  </w:r>
                </w:p>
              </w:tc>
            </w:tr>
            <w:tr w14:paraId="6BB13145" w14:textId="77777777" w:rsidTr="00CE2D83">
              <w:tblPrEx>
                <w:tblW w:w="10477" w:type="dxa"/>
                <w:tblLayout w:type="fixed"/>
                <w:tblLook w:val="04A0"/>
              </w:tblPrEx>
              <w:trPr>
                <w:trHeight w:val="676"/>
              </w:trPr>
              <w:tc>
                <w:tcPr>
                  <w:tcW w:w="198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5F5DCE0B" w14:textId="534EAEAF">
                  <w:pPr>
                    <w:pStyle w:val="SDSTableTextNormal"/>
                    <w:rPr>
                      <w:noProof w:val="0"/>
                    </w:rPr>
                  </w:pPr>
                  <w:r w:rsidRPr="0069446B" w:rsidR="00FA7F7F">
                    <w:rPr>
                      <w:noProof/>
                    </w:rPr>
                    <w:t>RG 84</w:t>
                  </w:r>
                </w:p>
              </w:tc>
              <w:tc>
                <w:tcPr>
                  <w:tcW w:w="849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F430DC" w:rsidRPr="0069446B" w:rsidP="005C557D" w14:paraId="2CB660ED" w14:textId="088BFBA8">
                  <w:pPr>
                    <w:pStyle w:val="SDSTableTextNormal"/>
                    <w:rPr>
                      <w:noProof w:val="0"/>
                    </w:rPr>
                  </w:pPr>
                  <w:r w:rsidRPr="0069446B">
                    <w:rPr>
                      <w:noProof/>
                    </w:rPr>
                    <w:t>Affections engendrées par les solvants organiques liquides à usage professionnel : hydrocarbures liquides aliphatiques ou cycliques saturés ou insaturés et leurs mélanges ; hydrocarbures 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rsidR="00F430DC" w:rsidRPr="0069446B" w:rsidP="005C557D" w14:paraId="07BC27B8" w14:textId="77777777">
            <w:pPr>
              <w:pStyle w:val="SDSTableTextNormal"/>
            </w:pP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inhalation)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Inhalation),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cutanée),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aigu,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 par aspiration, catégorie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Liquides inflammables, catégorie 3</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1B</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spécifique pour certains organes cibles – Exposition unique, catégorie 3, Irritation des voies respiratoires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Liquide et vapeurs inflammables.</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être mortel en cas d’ingestion et de pénétration dans les voies respiratoires.</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inhalation.</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irriter les voies respiratoires.</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E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w:t>
            </w:r>
          </w:p>
        </w:tc>
      </w:tr>
      <w:tr w14:paraId="63F052E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Très toxique pour les organismes aquatiques, entraîne des effets néfastes à long terme.</w:t>
            </w:r>
          </w:p>
        </w:tc>
      </w:tr>
      <w:tr w14:paraId="63F052E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Toxique pour les organismes aquatiques, entraîne des effets néfastes à long terme.</w:t>
            </w:r>
          </w:p>
        </w:tc>
      </w:tr>
      <w:tr w14:paraId="63F052E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18/06/2026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16</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18/06/2026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16</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cerise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cerise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18/06/2026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4C4DC298-F2AD-4C51-A71A-C2F35B63B1CA}"/>
</file>

<file path=customXml/itemProps3.xml><?xml version="1.0" encoding="utf-8"?>
<ds:datastoreItem xmlns:ds="http://schemas.openxmlformats.org/officeDocument/2006/customXml" ds:itemID="{BA07447E-2301-48DD-A00F-A49E0410D941}"/>
</file>

<file path=customXml/itemProps4.xml><?xml version="1.0" encoding="utf-8"?>
<ds:datastoreItem xmlns:ds="http://schemas.openxmlformats.org/officeDocument/2006/customXml" ds:itemID="{CF1EBDEA-9BE7-4DD1-86F9-451282D9CF9D}"/>
</file>

<file path=docProps/app.xml><?xml version="1.0" encoding="utf-8"?>
<Properties xmlns="http://schemas.openxmlformats.org/officeDocument/2006/extended-properties" xmlns:vt="http://schemas.openxmlformats.org/officeDocument/2006/docPropsVTypes">
  <Template>Normal</Template>
  <TotalTime>219</TotalTime>
  <Pages>16</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