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cèdre du Liban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TETRAHYDROLINALOOL, CEDRYL ACETATE, ALPHA-METHYL-BETA-IONONE, ALPHA-ISOMETHYL IONONE.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3-methyl-4-(2,6,6-trimethyl-2-cyclohexen-1-yl)-3-buten-2-one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1-(2,6,6-trimethyl-1-cyclohexen-1-yl)pent-1-en-3-one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aromatique.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3-methyl-4-(2,6,6-trimethyl-2-cyclohexen-1-yl)-3-buten-2-one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3-methyl-4-(2,6,6-trimethyl-2-cyclohexen-1-yl)-3-buten-2-one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3-methyl-4-(2,6,6-trimethyl-2-cyclohexen-1-yl)-3-buten-2-one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3-methyl-4-(2,6,6-trimethyl-2-cyclohexen-1-yl)-3-buten-2-one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cèdre du Liban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3-methyl-4-(2,6,6-trimethyl-2-cyclohexen-1-yl)-3-buten-2-one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cèdre du Liban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1-(2,6,6-trimethyl-1-cyclohexen-1-yl)pent-1-en-3-one (127-43-5)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3-methyl-4-(2,6,6-trimethyl-2-cyclohexen-1-yl)-3-buten-2-one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3,7-dimethyloctan-3-ol ; [3R-(3α,3aβ,6α,7β,8aα)]-octahydro-3,6,8,8-tetramethyl-1H-3a,7-methanoazulen-5-yl acetate ; 3-methyl-4-(2,6,6-trimethyl-2-cyclohexen-1-yl)-3-buten-2-one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benzoate ; [3R-(3α,3aβ,6α,7β,8aα)]-octahydro-3,6,8,8-tetramethyl-1H-3a,7-methanoazulen-5-yl acetate ; 3-methyl-4-(2,6,6-trimethyl-2-cyclohexen-1-yl)-3-buten-2-one ; 1,4-dioxacycloheptadecane-5,17-dione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TETRAHYDROLINALOOL, CEDRYL ACETATE, ALPHA-METHYL-BETA-IONONE, ALPHA-ISOMETHYL IONONE.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cèdre du Liban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cèdre du Liban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14/09/2026   Version: 5.0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5716F18-945B-4293-ABDF-516B45E3DE1B}"/>
</file>

<file path=customXml/itemProps3.xml><?xml version="1.0" encoding="utf-8"?>
<ds:datastoreItem xmlns:ds="http://schemas.openxmlformats.org/officeDocument/2006/customXml" ds:itemID="{F0E41469-37AE-4AC2-A46D-489CFD5855EB}"/>
</file>

<file path=customXml/itemProps4.xml><?xml version="1.0" encoding="utf-8"?>
<ds:datastoreItem xmlns:ds="http://schemas.openxmlformats.org/officeDocument/2006/customXml" ds:itemID="{ADE9C92C-93BA-4AB6-A834-980B1F8020D3}"/>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