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cannoli pistache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Acétate de 4-tert-butylcyclohexyle, coumarin.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Équipements de protection individuelle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Equipement de protection individuelle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Porter l’équipement de protection individuelle recommandé.</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Symbole(s) de l’équipement de protection individuelle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Gants de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3" name="" descr="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Porter un vêtement de protection appropr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Protection des yeux et du visage</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Protection oculaire</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Lunettes de sécurité</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Protection de la peau</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Protection de la peau et du corps</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Porter un vêtement de protection approprié</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Protection des mains</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Gants de protection</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Protection respiratoire</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Protection respiratoire</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 de ventilation insuffisante, porter un appareil respiratoire approprié</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Gourmande. Amande.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cannoli pistache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cannoli pistache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Acétate de 4-tert-butylcyclohexyle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Acétate de 4-tert-butylcyclohexyle, coumarin.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cannoli pistache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cannoli pistache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24/07/2026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599C7D1-D3B1-4842-B097-710657850696}"/>
</file>

<file path=customXml/itemProps3.xml><?xml version="1.0" encoding="utf-8"?>
<ds:datastoreItem xmlns:ds="http://schemas.openxmlformats.org/officeDocument/2006/customXml" ds:itemID="{F5A0069D-8EE5-4953-BD88-7B1DDF29AD0E}"/>
</file>

<file path=customXml/itemProps4.xml><?xml version="1.0" encoding="utf-8"?>
<ds:datastoreItem xmlns:ds="http://schemas.openxmlformats.org/officeDocument/2006/customXml" ds:itemID="{BACCFF56-09DC-47CC-B8FB-0DDE1D472A59}"/>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