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bubble gum fraise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Tenir hors de portée des enfants.</w:t>
              <w:br/>
              <w:t>P101 - En cas de consultation d’un médecin, garder à disposition le récipient ou l’étiquette.</w:t>
              <w:br/>
              <w:t>P501 - Éliminer le contenu/récipient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LIMONENE, CARVONE, cinnamaldehyde.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Vanille. Menthe.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bubble gum fraise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bubble gum fraise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LIMONENE, CARVONE, cinnamaldehyde.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bubble gum fraise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bubble gum fraise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26/06/2026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3ED0C18-1E0A-484D-AF2D-4F499D6AFDBA}"/>
</file>

<file path=customXml/itemProps3.xml><?xml version="1.0" encoding="utf-8"?>
<ds:datastoreItem xmlns:ds="http://schemas.openxmlformats.org/officeDocument/2006/customXml" ds:itemID="{45998131-9AA8-48B3-8DF8-25F4B3840DE4}"/>
</file>

<file path=customXml/itemProps4.xml><?xml version="1.0" encoding="utf-8"?>
<ds:datastoreItem xmlns:ds="http://schemas.openxmlformats.org/officeDocument/2006/customXml" ds:itemID="{9DB4BC38-EBB5-4F3E-8170-580E80B1698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