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bubble gum fraise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LIMONENE, carvone (ISO); 2-méthyl-5-(prop-1-en-2-yl)cyclohex-2-en-1-one, cinnamaldehyde.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0,6342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carvone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99-49-0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202-759-5</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0,0084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Acute 1, H400</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Fruitée. Vanille. Menthe.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de poids corporel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bubble gum fraise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bubble gum fraise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carvone (99-49-0)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cutanée),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LIMONENE, carvone (ISO); 2-méthyl-5-(prop-1-en-2-yl)cyclohex-2-en-1-one, cinnamaldehyde.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26/06/2026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26/06/2026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bubble gum fraise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bubble gum fraise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26/06/2026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E763490-CC8C-48D9-A2E6-9283E078EB47}"/>
</file>

<file path=customXml/itemProps3.xml><?xml version="1.0" encoding="utf-8"?>
<ds:datastoreItem xmlns:ds="http://schemas.openxmlformats.org/officeDocument/2006/customXml" ds:itemID="{188E7FF7-63A3-46B2-B597-579486F817C2}"/>
</file>

<file path=customXml/itemProps4.xml><?xml version="1.0" encoding="utf-8"?>
<ds:datastoreItem xmlns:ds="http://schemas.openxmlformats.org/officeDocument/2006/customXml" ds:itemID="{5458AC47-530C-436F-AFC7-FB3CE9AF781E}"/>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