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bubble gum fraise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carvone; (E)-anethole;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(par voie orale), H301 (ATE=280 mg/kg de poids corporel)</w:t>
              <w:br/>
              <w:t>Acute Tox. 3 (par voie cutanée), H311 (ATE=820 mg/kg de poids corporel)</w:t>
              <w:br/>
              <w:t>Acute Tox. 3 (par inhalation), H331 (ATE=0,5 mg/l/4h)</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acetate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141-78-6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205-500-4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607-022-00-5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br/>
              <w:t>EUH066</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ethyl acetate</w:t>
            </w:r>
            <w:r w:rsidRPr="0069446B">
              <w:rPr>
                <w:noProof w:val="0"/>
                <w:color w:val="auto"/>
              </w:rPr>
              <w:t xml:space="preserve"> </w:t>
            </w:r>
            <w:r w:rsidRPr="0069446B" w:rsidR="00FD53E4">
              <w:rPr>
                <w:noProof/>
                <w:color w:val="auto"/>
              </w:rPr>
              <w:t>(141-78-6)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Ethyl acetate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Acétate d'éthyle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contraignantes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Article R4412-149 du Code du travail (réf.: INRS ED 6443, 2022; Outil65; Décret n° 2019-1487; Décret n° 2020-1546; Décret n° 2021-434; Décret n° 2021-1849; Décret n° 2024-307)</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Valeur limite indicative d’exposition professionnelle (IOEL)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Ether diphénylique (Oxyde de biphényle)</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Vanille. Menthe.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de poids corporel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de poids corporel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acetate (141-78-6)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4934 mg/kg de poids corporel Animal: rabbit,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20000 mg/kg de poids corporel Animal: rabbit,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ethyl acetate (141-78-6)</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acetate (141-78-6)</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3600 mg/kg de poids corporel Animal: rat, Guideline: EPA OTS 795.2600 (Subchronic Oral Toxicity Test)</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900 mg/kg de poids corporel Animal: rat, Guideline: EPA OTS 795.2600 (Subchronic Oral Toxicity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de poids corporel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bubble gum fraise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hexanoate (123-68-2)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acetate (141-78-6)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230 mg/l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2,4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bubble gum fraise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hexanoate (123-68-2)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acetate (141-78-6)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allyl hexanoate ; ethyl acetate ; (E)-anethole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ethyl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allyl hexanoate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en cas d’ingestion.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contact cutané.</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EUH066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L’exposition répétée peut provoquer dessèchement ou gerçures de la peau.</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bubble gum fraise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bubble gum fraise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26/06/2026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0CBAF0A-13BB-447A-A4F3-66683123046B}"/>
</file>

<file path=customXml/itemProps3.xml><?xml version="1.0" encoding="utf-8"?>
<ds:datastoreItem xmlns:ds="http://schemas.openxmlformats.org/officeDocument/2006/customXml" ds:itemID="{B0650A59-BEF6-425C-B478-496B64C242A0}"/>
</file>

<file path=customXml/itemProps4.xml><?xml version="1.0" encoding="utf-8"?>
<ds:datastoreItem xmlns:ds="http://schemas.openxmlformats.org/officeDocument/2006/customXml" ds:itemID="{1C51806D-7632-4650-B5CB-BF1A7440B2D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