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bois flotté 7%</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p w:rsidR="00827634" w:rsidRPr="0069446B" w:rsidP="009E5102" w14:paraId="2D05B3D4" w14:textId="5E45E9EA">
      <w:pPr>
        <w:pStyle w:val="SDSTextNormal"/>
      </w:pPr>
      <w:r w:rsidRPr="0069446B">
        <w:rPr>
          <w:noProof/>
        </w:rPr>
        <w:t>Destiné au grand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Catégorie d’usage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Utilisation par les consommateurs</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 Word</w:t>
              <w:br/>
              <w:br/>
              <w:t>1 rue de la clef des champs</w:t>
              <w:br/>
              <w:t>68600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Sensibilisation cutanée, catégorie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Dangereux pour le milieu aquatique – Danger chronique, catégorie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Texte intégral des mentions H et EUH : voir rubrique 16</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Pr>
          <w:noProof/>
        </w:rPr>
        <w:t>Peut provoquer une allergie cutanée. Nocif pour les organismes aquatiques, entraîne des effets néfastes à long terme.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Pictogrammes de danger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Mention d’avertissement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Attention</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geraniol; (ethoxymethoxy)cyclododecane; acetyl cedrene; [3R-(3α,3aβ,6α,7β,8aα)]-octahydro-3,6,8,8-tetramethyl-1H-3a,7-methanoazulen-5-yl acetate; linalool; benzyl salicylate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Mentions de danger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Peut provoquer une allergie cutanée.</w:t>
              <w:br/>
              <w:t>H412 - Nocif pour les organismes aquatiques, entraîne des effets néfastes à long terme.</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P273 - Éviter le rejet dans l’environnement.</w:t>
              <w:br/>
              <w:t>P302+P352 - EN CAS DE CONTACT AVEC LA PEAU: Laver abondamment à l’eau et au savon.</w:t>
              <w:br/>
              <w:t>P333+P313 - En cas d’irritation ou d’éruption cutanée: consulter un médecin.</w:t>
              <w:br/>
              <w:t>P501 - Éliminer le contenu et le récipient dans un centre de tri, conformément à la réglementation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F82798" w:rsidRPr="0069446B" w:rsidP="00A727C2" w14:paraId="2F7B68FE" w14:textId="77777777">
      <w:pPr>
        <w:pStyle w:val="SDSTextNormal"/>
      </w:pPr>
      <w:bookmarkStart w:id="1"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Composant</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Substance(s) ne répondant pas aux critères PBT du règlement REACH, conformément à l’annexe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(ethoxymethoxy)cyclododecane (58567-11-6)</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Substance(s) ne répondant pas aux critères vPvB du règlement REACH, conformément à l’annexe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(ethoxymethoxy)cyclododecane (58567-11-6)</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2"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2"/>
    </w:tbl>
    <w:p w:rsidR="00B072A8" w:rsidRPr="0069446B" w:rsidP="00B072A8" w14:paraId="7788D936" w14:textId="77777777">
      <w:pPr>
        <w:pStyle w:val="SDSTextBlankLine"/>
      </w:pPr>
    </w:p>
    <w:tbl>
      <w:tblPr>
        <w:tblStyle w:val="SDSTableWithBordersWithHeaderRow"/>
        <w:tblW w:w="10495" w:type="dxa"/>
        <w:tblLayout w:type="fixed"/>
        <w:tblLook w:val="04A0"/>
      </w:tblPr>
      <w:tblGrid>
        <w:gridCol w:w="3969"/>
        <w:gridCol w:w="6526"/>
      </w:tblGrid>
      <w:tr w14:paraId="6251E307" w14:textId="77777777" w:rsidTr="0069446B">
        <w:tblPrEx>
          <w:tblW w:w="10495" w:type="dxa"/>
          <w:tblLayout w:type="fixed"/>
          <w:tblLook w:val="04A0"/>
        </w:tblPrEx>
        <w:trPr>
          <w:trHeight w:val="20"/>
          <w:tblHeader/>
        </w:trPr>
        <w:tc>
          <w:tcPr>
            <w:tcW w:w="10495"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5BC2FC32" w14:textId="6E368FEE">
            <w:pPr>
              <w:pStyle w:val="SDSTableTextHeading1"/>
              <w:rPr>
                <w:noProof w:val="0"/>
                <w:color w:val="auto"/>
              </w:rPr>
            </w:pPr>
            <w:r w:rsidRPr="0069446B" w:rsidR="00FA7F7F">
              <w:rPr>
                <w:noProof/>
                <w:color w:val="auto"/>
              </w:rPr>
              <w:t>Composant</w:t>
            </w:r>
          </w:p>
        </w:tc>
      </w:tr>
      <w:tr w14:paraId="66B1B816" w14:textId="77777777" w:rsidTr="0069446B">
        <w:tblPrEx>
          <w:tblW w:w="10495"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EE2C69" w14:paraId="5409109E" w14:textId="3B1ED55A">
            <w:pPr>
              <w:pStyle w:val="SDSTableTextNormal"/>
              <w:rPr>
                <w:noProof w:val="0"/>
              </w:rPr>
            </w:pPr>
            <w:r w:rsidRPr="0069446B">
              <w:rPr>
                <w:noProof/>
              </w:rPr>
              <w:t>Substance(s) non incluse(s) dans la liste établie conformément à l’article 59, al. 1, du règlement REACH pour avoir des propriétés perturbant le système endocrinien, ou non identifiée(s) comme ayant des propriétés perturbant le système endocrinien conformément aux critères énoncés dans le règlement délégué (UE) 2017/2100 de la Commission ou le règlement (UE) 2018/605 de la Commission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573B2F" w:rsidRPr="0069446B" w:rsidP="00EE2C69" w14:paraId="384C6B00" w14:textId="2079666F">
            <w:pPr>
              <w:pStyle w:val="SDSTableTextNormal"/>
              <w:rPr>
                <w:noProof w:val="0"/>
              </w:rPr>
            </w:pPr>
            <w:r w:rsidRPr="0069446B" w:rsidR="00FA7F7F">
              <w:rPr>
                <w:noProof/>
              </w:rPr>
              <w:t>geraniol (106-24-1)</w:t>
            </w:r>
          </w:p>
        </w:tc>
      </w:tr>
    </w:tbl>
    <w:bookmarkEnd w:id="1"/>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118-58-1</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204-262-9</w:t>
            </w:r>
          </w:p>
          <w:p w:rsidR="00827634" w:rsidRPr="0069446B" w:rsidP="009B0F88" w14:paraId="6ACDC690"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607-754-00-5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1,54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Eye Irrit. 2, H319</w:t>
              <w:br/>
              <w:t>Skin Sens. 1B, H317</w:t>
              <w:b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[3R-(3α,3aβ,6α,7β,8aα)]-octahydro-3,6,8,8-tetramethyl-1H-3a,7-methanoazulen-5-yl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77-54-3</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201-036-1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0,546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acetyl cedrene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32388-55-9</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251-020-3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0,504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1-(5,6,7,8-tetrahydro-3,5,5,6,8,8-hexamethyl-2-naphthyl)ethan-1-one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21145-77-7</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244-240-6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orale), H302 (ATE=500 mg/kg de poids corporel)</w:t>
              <w:br/>
              <w:t>Aquatic Acute 1, H400</w:t>
              <w:br/>
              <w:t>Aquatic Chronic 1, H410</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geraniol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106-24-1</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203-377-1</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603-241-00-5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Dam. 1, H318</w:t>
              <w:br/>
              <w:t>Skin Sens. 1,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(ethoxymethoxy)cyclododecane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58567-11-6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261-332-1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0,126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2, H411</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alpha-cedrene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469-61-4</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207-418-4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0,0483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[3R-(3α,3aβ,7β,8aα)]-octahydro-3,8,8-trimethyl-6-methylene-1H-3a,7-methanoazulene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546-28-1</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208-898-8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0,0175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Laver la peau avec beaucoup d’eau. Enlever les vêtements contaminés. En cas d’irritation ou d’éruption cutanée: consulter un médecin.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Peut provoquer une allergie cutanée.</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Ventiler la zone de déversement. Eviter le contact avec la peau et les yeux. Éviter de respirer les poussières/fumées/gaz/brouillards/vapeurs/aérosols.</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Transvaser le produit dans un récipient sec à l’aide d’une pelle, et refermer le récipient sans comprimer le produit.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Eviter le contact avec la peau et les yeux. Éviter de respirer les poussières/fumées/gaz/brouillards/vapeurs/aérosols.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Les vêtements de travail contaminés ne devraient pas sortir du lieu de travail. Laver les vêtements contaminés avant réutilisation. 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Boisé. Marine.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geraniol (106-24-1)</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3600 mg/kg de poids corporel Animal: rat, 95% CL: 2840 - 4570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de poids corporel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(ethoxymethoxy)cyclododecane (58567-11-6)</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5000 mg/kg de poids corporel Animal: rat, Animal sex: male, Guideline: OECD Guideline 401 (Acute Oral Toxicity)</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de poids corporel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acetyl cedrene (32388-55-9)</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de poids corporel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[3R-(3α,3aβ,6α,7β,8aα)]-octahydro-3,6,8,8-tetramethyl-1H-3a,7-methanoazulen-5-yl acetate (77-54-3)</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44750 mg/kg de poids corporel Animal: rat, Guideline: OECD Guideline 401 (Acute Oral Toxicity), 95% CL: 33650 - 59520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de poids corporel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de poids corporel Animal: mouse, Guideline: OECD Guideline 401 (Acute Oral Toxicity), 95% CL: 2620 - 3620</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de poids corporel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1-(5,6,7,8-tetrahydro-3,5,5,6,8,8-hexamethyl-2-naphthyl)ethan-1-one (21145-77-7)</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920 mg/kg de poids corporel Animal: rat, Guideline: OECD Guideline 401 (Acute Oral Toxicity), 95% CL: 795 - 1066</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sidR="00FA7F7F">
              <w:rPr>
                <w:noProof/>
              </w:rPr>
              <w:t>9740 mg/kg Source: NLM; ChemIDplus</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salicylate (118-58-1)</w:t>
            </w:r>
          </w:p>
        </w:tc>
      </w:tr>
      <w:tr w14:paraId="6700D317"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de poids corporel Animal: rabbit, Guideline: EU Method B.3 (Acute Toxicity (Dermal))</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Peut provoquer une allergie cutanée.</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geraniol (106-24-1)</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(chronique, oral, animal/mâle, 2 ans)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de poids corporel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(ethoxymethoxy)cyclododecane (58567-11-6)</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(animal/mâle,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50 mg/kg de poids corporel Animal: rat, Animal sex: male, Guideline: OECD Guideline 422 (Combined Repeated Dose Toxicity Study with the Reproduction / Developmental Toxicity Screening Test), Guideline: other:</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1000 mg/kg de poids corporel Animal: rat, Animal sex: female, Guideline: OECD Guideline 422 (Combined Repeated Dose Toxicity Study with the Reproduction / Developmental Toxicity Screening Test), Guideline: other:</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benzyl salicylate (118-58-1)</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158 mg/kg de poids corporel Animal: rat, Animal sex: female, Guideline: OECD Guideline 421 (Reproduction / Developmental Toxicity Screening Test)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geraniol (106-24-1)</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300 mg/kg de poids corporel Animal: rat, Guideline: other:,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acetyl cedrene (32388-55-9)</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80 mg/kg de poids corporel Animal: rat, Guideline: OECD Guideline 408 (Repeated Dose 90-Day Oral Toxicity Study in Rodents)</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300 mg/kg de poids corporel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de poids corporel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salicylate (118-58-1)</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177 mg/kg de poids corporel Animal: rat, Guideline: OECD Guideline 408 (Repeated Dose 90-Day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bois flotté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acetyl cedrene (32388-55-9)</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 xml:space="preserve">38,25 mm²/s Temp.: '20°C' </w:t>
            </w:r>
            <w:r w:rsidRPr="0069446B">
              <w:rPr>
                <w:rFonts w:hint="eastAsia"/>
                <w:noProof/>
                <w:lang w:eastAsia="ja-JP"/>
              </w:rPr>
              <w:t>Parameter: 'kinematic viscosity (in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Informations sur les autres dangers</w:t>
      </w:r>
      <w:bookmarkEnd w:id="3"/>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Nocif pour les organismes aquatiques, entraîne des effets néfastes à long terme.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Nocif pour les organismes aquatiques, entraîne des effets néfastes à long terme.</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geraniol (106-24-1)</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 22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10,8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(ethoxymethoxy)cyclododecane (58567-11-6)</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1,9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1,6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2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acetyl cedrene (32388-55-9)</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 mg/l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Poisson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3 mg/l Test organisms (species): Pimephales promelas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0,86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2,8 mg/l Test organisms (species): Raphidocelis subcapitata (previous names: Pseudokirchneriella subcapitata, Selenastrum capricornutum)</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&gt; 4,3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0,23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0,087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[3R-(3α,3aβ,6α,7β,8aα)]-octahydro-3,6,8,8-tetramethyl-1H-3a,7-methanoazulen-5-yl acetate (77-54-3)</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15,61 mg/l Test organisms (species): Danio rerio (previous name: Brachydanio rerio)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0,33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0,31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88,3 mg/l Test organisms (species): Desmodesmus subspicatus (previous name: Scenedesmus subspicatus)</w:t>
            </w:r>
          </w:p>
        </w:tc>
      </w:tr>
      <w:tr w14:paraId="2AED0D7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B0185B1">
            <w:pPr>
              <w:pStyle w:val="SDSTableTextNormal"/>
              <w:rPr>
                <w:noProof w:val="0"/>
              </w:rPr>
            </w:pPr>
            <w:r w:rsidRPr="0069446B" w:rsidR="00FA7F7F">
              <w:rPr>
                <w:noProof/>
              </w:rPr>
              <w:t>CE50 96h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1-(5,6,7,8-tetrahydro-3,5,5,6,8,8-hexamethyl-2-naphthyl)ethan-1-one (21145-77-7)</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sidR="00FA7F7F">
              <w:rPr>
                <w:noProof/>
              </w:rPr>
              <w:t>&gt; 0,81 mg/l Source: ECHA chem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salicylate (118-58-1)</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1,03 mg/l Test organisms (species): Danio rerio (previous name: Brachydanio rerio)</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1,16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0,691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1,29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bois flotté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[3R-(3α,3aβ,7β,8aα)]-octahydro-3,8,8-trimethyl-6-methylene-1H-3a,7-methanoazulene (546-28-1)</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geraniol (106-24-1)</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(ethoxymethoxy)cyclododecane (58567-11-6)</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acetyl cedrene (32388-55-9)</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[3R-(3α,3aβ,6α,7β,8aα)]-octahydro-3,6,8,8-tetramethyl-1H-3a,7-methanoazulen-5-yl acetate (77-54-3)</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alpha-cedrene (469-61-4)</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1-(5,6,7,8-tetrahydro-3,5,5,6,8,8-hexamethyl-2-naphthyl)ethan-1-one (21145-77-7)</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tbl>
      <w:tblPr>
        <w:tblStyle w:val="SDSTableWithBordersWithHeaderRow"/>
        <w:tblW w:w="10489" w:type="dxa"/>
        <w:tblLayout w:type="fixed"/>
        <w:tblLook w:val="04A0"/>
      </w:tblPr>
      <w:tblGrid>
        <w:gridCol w:w="3969"/>
        <w:gridCol w:w="6520"/>
      </w:tblGrid>
      <w:tr w14:paraId="0E63EE1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F851B8" w14:textId="6DF81C10">
            <w:pPr>
              <w:pStyle w:val="SDSTableTextHeading1"/>
              <w:rPr>
                <w:noProof w:val="0"/>
                <w:color w:val="auto"/>
              </w:rPr>
            </w:pPr>
            <w:r w:rsidRPr="0069446B" w:rsidR="00FA7F7F">
              <w:rPr>
                <w:noProof/>
                <w:color w:val="auto"/>
              </w:rPr>
              <w:t>1-(5,6,7,8-tetrahydro-3,5,5,6,8,8-hexamethyl-2-naphthyl)ethan-1-one (21145-77-7)</w:t>
            </w:r>
          </w:p>
        </w:tc>
      </w:tr>
      <w:tr w14:paraId="40836B2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AB0BD12" w14:textId="596A5367">
            <w:pPr>
              <w:pStyle w:val="SDSTableTextNormal"/>
              <w:rPr>
                <w:noProof w:val="0"/>
              </w:rPr>
            </w:pPr>
            <w:r w:rsidRPr="0069446B" w:rsidR="00FA7F7F">
              <w:rPr>
                <w:noProof/>
              </w:rPr>
              <w:t>Mobilité dans le sol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522C89" w14:textId="2FD8F89C">
            <w:pPr>
              <w:pStyle w:val="SDSTableTextNormal"/>
              <w:rPr>
                <w:noProof w:val="0"/>
              </w:rPr>
            </w:pPr>
            <w:r w:rsidRPr="0069446B" w:rsidR="00FA7F7F">
              <w:rPr>
                <w:noProof/>
              </w:rPr>
              <w:t>18770 Source: EPISUITE v4.1</w:t>
            </w:r>
          </w:p>
        </w:tc>
      </w:tr>
    </w:tbl>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Composant</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Substance(s) ne répondant pas aux critères PBT du règlement REACH, conformément à l’annexe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sidR="00FA7F7F">
              <w:rPr>
                <w:noProof/>
              </w:rPr>
              <w:t>(ethoxymethoxy)cyclododecane (58567-11-6)</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Substance(s) ne répondant pas aux critères vPvB du règlement REACH, conformément à l’annexe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sidR="00FA7F7F">
              <w:rPr>
                <w:noProof/>
              </w:rPr>
              <w:t>(ethoxymethoxy)cyclododecane (58567-11-6)</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4"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“Écotoxique”: déchet qui présente ou peut présenter des risques immédiats ou différés pour une ou plusieurs composantes de l’environnement.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geraniol ; (ethoxymethoxy)cyclododecane ; acetyl cedrene ; [3R-(3α,3aβ,6α,7β,8aα)]-octahydro-3,6,8,8-tetramethyl-1H-3a,7-methanoazulen-5-yl acetate ; linalool ; benzyl salicylate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benzyl acetate ; (ethoxymethoxy)cyclododecane ; acetyl cedrene ; [3R-(3α,3aβ,6α,7β,8aα)]-octahydro-3,6,8,8-tetramethyl-1H-3a,7-methanoazulen-5-yl acetate ; benzyl salicylate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 de danger 4.1</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(par voie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Toxicité aiguë (par voie orale), catégorie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aigu, catégorie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 par aspiration, catégorie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en cas d’ingestion.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être mortel en cas d’ingestion et de pénétration dans les voies respiratoires.</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irritation cutanée.</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de graves lésions des yeux.</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sévère irritation des yeux.</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 entraîne des effets néfastes à long terme.</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Toxique pour les organismes aquatiques, entraîne des effets néfastes à long terme.</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pour les organismes aquatiques, entraîne des effets néfastes à long terme.</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et procédure utilisée pour établir la classification des mélanges conformément au réglement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Méthode de calcul</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Méthode de calcul</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07/09/2026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14</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07/09/2026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bois flotté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bois flotté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07/09/2026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30F5D78E-5A16-44AF-A6D2-692D27460E2F}"/>
</file>

<file path=customXml/itemProps3.xml><?xml version="1.0" encoding="utf-8"?>
<ds:datastoreItem xmlns:ds="http://schemas.openxmlformats.org/officeDocument/2006/customXml" ds:itemID="{2E7B369A-669A-4818-9D90-82F83728B168}"/>
</file>

<file path=customXml/itemProps4.xml><?xml version="1.0" encoding="utf-8"?>
<ds:datastoreItem xmlns:ds="http://schemas.openxmlformats.org/officeDocument/2006/customXml" ds:itemID="{6BC53F00-B7F6-42BD-8F5D-1ADA28048A4D}"/>
</file>

<file path=docProps/app.xml><?xml version="1.0" encoding="utf-8"?>
<Properties xmlns="http://schemas.openxmlformats.org/officeDocument/2006/extended-properties" xmlns:vt="http://schemas.openxmlformats.org/officeDocument/2006/docPropsVTypes">
  <Template>Normal</Template>
  <TotalTime>219</TotalTime>
  <Pages>14</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