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de oud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DIHYDRO PENTAMETHYLINDANONE,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Oriental. balsamique. Epicée.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de oud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de oud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chronique, catégorie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DIHYDRO PENTAMETHYLINDANONE, linalool.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de oud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de oud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AA2C009-BEDF-4CBE-8738-B2939FB8D288}"/>
</file>

<file path=customXml/itemProps3.xml><?xml version="1.0" encoding="utf-8"?>
<ds:datastoreItem xmlns:ds="http://schemas.openxmlformats.org/officeDocument/2006/customXml" ds:itemID="{1DA76285-1DAF-4A50-BF08-8A3732EB2030}"/>
</file>

<file path=customXml/itemProps4.xml><?xml version="1.0" encoding="utf-8"?>
<ds:datastoreItem xmlns:ds="http://schemas.openxmlformats.org/officeDocument/2006/customXml" ds:itemID="{10D58DBA-3D4D-47D9-A0FB-DF834A407327}"/>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