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bois d'olivier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linalyl acetate; alpha-iso-methylionone; linalool; 1-(1,2,3,4,5,6,7,8-octahydro-2,3,8,8-tetramethyl-2-naphthyl)ethan-1-one; acetyl cedrene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2,5921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1,2726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Recueillir le produit répandu.</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Boisé. Verte.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de poids corporel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80 mg/kg de poids corporel Animal: rat, Guideline: OECD Guideline 408 (Repeated Dose 90-Day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bois d'olivier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bois d'olivier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SOLIDE, N.S.A. (benzyl benzoate)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SOLIDE, N.S.A. (benzyl benzoate)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SOLIDE, N.S.A. (benzyl benzoate)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SOLIDE, N.S.A. (benzyl benzoate)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MATIÈRE DANGEREUSE DU POINT DE VUE DE L'ENVIRONNEMENT, SOLIDE, N.S.A. (benzyl benzoate),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MATIÈRE DANGEREUSE DU POINT DE VUE DE L'ENVIRONNEMENT, SOLIDE, N.S.A. (benzyl benzoate),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MATIÈRE DANGEREUSE DU POINT DE VUE DE L'ENVIRONNEMENT, SOLIDE, N.S.A. (benzyl benzoate),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MATIÈRE DANGEREUSE DU POINT DE VUE DE L'ENVIRONNEMENT, SOLIDE, N.S.A. (benzyl benzoate),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Dispositions spéciales de transport -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Dispositions spéciales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Arrimage et manutention (Code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Exigences supplémentaires/Observations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Uniquement à l'état fondu. ** Pour le transport en vrac, voir aussi le 7.1.4.1. *** Uniquement en cas de transport en vrac.</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Dispositions spéciales de transport -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bois d'olivier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bois d'olivier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07/07/2026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61B8415-8241-47BB-A5D1-5EACC06111B0}"/>
</file>

<file path=customXml/itemProps3.xml><?xml version="1.0" encoding="utf-8"?>
<ds:datastoreItem xmlns:ds="http://schemas.openxmlformats.org/officeDocument/2006/customXml" ds:itemID="{4C83E524-7622-423D-A1FF-3ED115D1F198}"/>
</file>

<file path=customXml/itemProps4.xml><?xml version="1.0" encoding="utf-8"?>
<ds:datastoreItem xmlns:ds="http://schemas.openxmlformats.org/officeDocument/2006/customXml" ds:itemID="{8390B5D3-6CB2-479A-9449-658EC260ED1A}"/>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