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bois d'olivier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linalyl acetate; alpha-iso-methylionone; 7-hydroxycitronellal; linalool; 1-(1,2,3,4,5,6,7,8-octahydro-2,3,8,8-tetramethyl-2-naphthyl)ethan-1-one; acetyl cedrene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3,703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Boisé. Verte.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poids corporel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de poids corporel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bois d'olivier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bois d'olivier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(benzyl benzoate)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(benzyl benzoate)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(benzyl benzoate)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(benzyl benzoate)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(benzyl benzoate),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(benzyl benzoate),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(benzyl benzoate),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(benzyl benzoate),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7-hydroxycitronellal ; linalool ; 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bois d'olivier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bois d'olivier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07/07/2026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DD33320-5DA0-41A5-9296-03E924E90A03}"/>
</file>

<file path=customXml/itemProps3.xml><?xml version="1.0" encoding="utf-8"?>
<ds:datastoreItem xmlns:ds="http://schemas.openxmlformats.org/officeDocument/2006/customXml" ds:itemID="{8605562E-7D74-4D00-A141-273A38F91D60}"/>
</file>

<file path=customXml/itemProps4.xml><?xml version="1.0" encoding="utf-8"?>
<ds:datastoreItem xmlns:ds="http://schemas.openxmlformats.org/officeDocument/2006/customXml" ds:itemID="{3BDB89B9-3012-429D-9714-4F181288C770}"/>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