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beurre doux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Peut provoquer une allergie cutanée.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4-hydroxy-2,5-dimethylfuran-2(3H)-one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Peut provoquer une allergie cutanée.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P302+P352 - EN CAS DE CONTACT AVEC LA PEAU: laver abondamment à l’eau et au savon.</w:t>
              <w:br/>
              <w:t>P333+P313 - En cas d’irritation ou d’éruption cutanée: consulter un médecin.</w:t>
              <w:br/>
              <w:t>P501 - Éliminer le contenu/récipient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123-11-5</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204-602-6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0,429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Repr. 2, H361</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Corr. 1B, H314</w:t>
              <w:br/>
              <w:t>Eye Dam. 1, H318</w:t>
              <w:br/>
              <w:t>Skin Sens. 1A,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0,0143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cutanée), H312 (ATE=1260 mg/kg de poids corporel)</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Gourmande. Vanille.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anisaldehyde (123-11-5)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3210 mg/kg de poids corporel Animal: rat, Guideline: OECD Guideline 401 (Acute Oral Toxicity), 95% CL: 2755 - 3600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de poids corporel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poids corporel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de poids corporel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4-hydroxy-2,5-dimethylfuran-2(3H)-one (3658-77-3)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2320 mg/kg de poids corporel Animal: rat, Guideline: OECD Guideline 401 (Acute Oral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4-hydroxy-2,5-dimethylfuran-2(3H)-one (3658-77-3)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1000 mg/kg de poids corporel Animal: rat, Animal sex: 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anisaldehyde (123-11-5)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beurre doux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anisaldehyde (123-11-5)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148,32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82,8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beurre doux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anisaldehyde (123-11-5)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anisaldehyde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anisaldehyde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cutanée),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pour la reproduction,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1, sous-catégorie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contact cutané.</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brûlures de la peau et de graves lésions des yeux.</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Susceptible de nuire à la fertilité ou au fœtus.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23/06/2026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23/06/2026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beurre doux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beurre doux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23/06/2026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04AEFA18-FAD0-4153-9A2B-FCE4FC557A97}"/>
</file>

<file path=customXml/itemProps3.xml><?xml version="1.0" encoding="utf-8"?>
<ds:datastoreItem xmlns:ds="http://schemas.openxmlformats.org/officeDocument/2006/customXml" ds:itemID="{C461D0FE-B733-40C6-9967-96E2DD0DABFC}"/>
</file>

<file path=customXml/itemProps4.xml><?xml version="1.0" encoding="utf-8"?>
<ds:datastoreItem xmlns:ds="http://schemas.openxmlformats.org/officeDocument/2006/customXml" ds:itemID="{A57B32F8-F75E-4A44-A24F-E4EF5389CFD2}"/>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