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banana bread 10%</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 Word</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p w:rsidR="00827634" w:rsidRPr="0069446B" w:rsidP="009E5102" w14:paraId="29F388B8" w14:textId="4336E5B9">
      <w:pPr>
        <w:pStyle w:val="SDSTextNormal"/>
        <w:rPr>
          <w:noProof/>
        </w:rPr>
      </w:pPr>
      <w:r w:rsidRPr="0069446B">
        <w:rPr>
          <w:noProof/>
        </w:rPr>
        <w:t>Non classé</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Pr>
          <w:noProof/>
        </w:rPr>
        <w:t>A notre connaissance, ce produit ne présente pas de risque particulier, sous réserve de respecter les règles générales d’hygiène industrielle.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P501 - Éliminer le contenu et le récipient dans un centre de tri, conformément à la réglementation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Phrases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Contient GAMMA-DODECALACTONE, 3-methylcyclopentane-1,2-dione. Peut produire une réaction allergique.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anisaldehyde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123-11-5</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203-212-3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Repr. 2, H361</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dihydro-5-octylfuran-2(3H)-one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2305-05-7</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218-971-6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0,127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3-methylcyclopentane-1,2-dione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765-70-8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212-154-8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(ATE=500 mg/kg de poids corporel)</w:t>
              <w:br/>
              <w:t>Eye Dam. 1, H318</w:t>
              <w:br/>
              <w:t>Skin Sens. 1, H317</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Laver la peau avec beaucoup d’eau.</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Aucun(es) dans des conditions normales. Les poussières peuvent occasionner une irritation dans les plis de la peau ou par contact en portant un vêtement serré.</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Ventiler la zone de déversement.</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Transvaser le produit dans un récipient sec à l’aide d’une pelle, et refermer le récipient sans comprimer le produit.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Gourmande. Vanille. Fruitée.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anisaldehyde (123-11-5)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3210 mg/kg de poids corporel Animal: rat, Guideline: OECD Guideline 401 (Acute Oral Toxicity), 95% CL: 2755 - 3600</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poids corporel Animal: rat, Animal sex: female,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de poids corporel Animal: rabbit</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anisaldehyde (123-11-5)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anisaldehyde (123-11-5)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classé (Compte tenu des données disponibles, les critères de classification ne sont pas remplis)</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dihydro-5-octylfuran-2(3H)-one (2305-05-7)</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 750 mg/kg de poids corporel Animal: rat, Guideline: OECD Guideline 422 (Combined Repeated Dose Toxicity Study with the Reproduction / Developmental Toxicity Screening Test)</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anisaldehyde (123-11-5)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de poids corporel Animal: rat, Guideline: OECD Guideline 408 (Repeated Dose 90-Day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banana bread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Informations sur les autres dangers</w:t>
      </w:r>
      <w:bookmarkEnd w:id="2"/>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Ce produit n’est pas considéré comme toxique pour les organismes aquatiques et ne provoque pas d’effets néfastes à long terme dans l’environnement.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classé (Compte tenu des données disponibles, les critères de classification ne sont pas remplis)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dihydro-5-octylfuran-2(3H)-one (2305-05-7)</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&gt; 3,125 mg/l Test organisms (species): other:</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 3,176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Crustacés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3,176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 13,06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13,06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anisaldehyde (123-11-5)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148,32 mg/l Test organisms (species): Leuciscus idus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82,8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68,4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1,53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0,71 mg/l Test organisms (species): Daphnia magna Duration: '21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banana bread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dihydro-5-octylfuran-2(3H)-one (2305-05-7)</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anisaldehyde (123-11-5)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3-methylcyclopentane-1,2-dione (765-70-8)</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3"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dihydro-5-octylfuran-2(3H)-one ; anisaldehyde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anisaldehyde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(par voie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voie orale), catégorie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pour la reproduction, catégorie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en cas d’ingestion.</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de graves lésions des yeux.</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Susceptible de nuire à la fertilité ou au fœtus.</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Contient GAMMA-DODECALACTONE, 3-methylcyclopentane-1,2-dione. Peut produire une réaction allergique.</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14/09/2026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14/09/2026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banana bread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banana bread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14/09/2026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5E110332-E17D-49CA-BB65-F322C176606A}"/>
</file>

<file path=customXml/itemProps3.xml><?xml version="1.0" encoding="utf-8"?>
<ds:datastoreItem xmlns:ds="http://schemas.openxmlformats.org/officeDocument/2006/customXml" ds:itemID="{2E32453B-DDA8-45A5-BFF5-1DF3F770E366}"/>
</file>

<file path=customXml/itemProps4.xml><?xml version="1.0" encoding="utf-8"?>
<ds:datastoreItem xmlns:ds="http://schemas.openxmlformats.org/officeDocument/2006/customXml" ds:itemID="{E8F8253E-19CE-482C-9AB0-DB7635ADEB13}"/>
</file>

<file path=docProps/app.xml><?xml version="1.0" encoding="utf-8"?>
<Properties xmlns="http://schemas.openxmlformats.org/officeDocument/2006/extended-properties" xmlns:vt="http://schemas.openxmlformats.org/officeDocument/2006/docPropsVTypes">
  <Template>Normal</Template>
  <TotalTime>219</TotalTime>
  <Pages>11</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