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amour dans le pré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alpha-iso-methylionone; cinnamyl alcohol; (ethoxymethoxy)cyclododecane; methyl palmitate; 1-(1,2,3,4,5,6,7,8-octahydro-2,3,8,8-tetramethyl-2-naphthyl)ethan-1-one; cinnamaldehyde;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2,609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Fruitée.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amour dans le pré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Bougie amour dans le pré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cinnamyl alcohol ; (ethoxymethoxy)cyclododecane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amour dans le pré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amour dans le pré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15/06/2026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44D5DB5-46A7-4DE1-B3A5-7811B4A7D490}"/>
</file>

<file path=customXml/itemProps3.xml><?xml version="1.0" encoding="utf-8"?>
<ds:datastoreItem xmlns:ds="http://schemas.openxmlformats.org/officeDocument/2006/customXml" ds:itemID="{E835AE74-2CFC-4636-A83E-41B5C9B81FD8}"/>
</file>

<file path=customXml/itemProps4.xml><?xml version="1.0" encoding="utf-8"?>
<ds:datastoreItem xmlns:ds="http://schemas.openxmlformats.org/officeDocument/2006/customXml" ds:itemID="{CB9EC458-EC75-476B-96A3-083F7420DA10}"/>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