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Monoï coco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benzyl alcohol; 7-hydroxycitronellal; linalool; coumarin; α-hexylcinnamaldehyde; benzyl salicylate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1,364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(ATE=1570 mg/kg)</w:t>
              <w:br/>
              <w:t>Eye Irrit. 2, H319</w:t>
              <w:b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Fruitée. tubéreuse. noix de coco.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de poids corporel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de poids corporel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de poids corporel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de poids corporel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Monoï coco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Monoï coco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alcohol (100-51-6)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alcohol ; 7-hydroxycitronellal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26/06/2026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26/06/2026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Monoï coco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Monoï coco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26/06/2026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8B05B1C-0F3F-4426-874C-A2FA6BCFBB6B}"/>
</file>

<file path=customXml/itemProps3.xml><?xml version="1.0" encoding="utf-8"?>
<ds:datastoreItem xmlns:ds="http://schemas.openxmlformats.org/officeDocument/2006/customXml" ds:itemID="{2430CCF6-C7A0-4F4F-9E91-A18A8F9CA61F}"/>
</file>

<file path=customXml/itemProps4.xml><?xml version="1.0" encoding="utf-8"?>
<ds:datastoreItem xmlns:ds="http://schemas.openxmlformats.org/officeDocument/2006/customXml" ds:itemID="{2B2B265E-FDE5-45B0-81F7-96AB75FB2CDD}"/>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