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306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α-hexylcinnamaldehyde, Salicylate de benzyle, linalool, [3R-(3α,3aβ,6α,7β,8aα)]-octahydro-3,6,8,8-tetramethyl-1H-3a,7-methanoazulen-5-yl acetate, 1-(1,2,3,4,5,6,7,8-octahydro-2,3,8,8-tetramethyl-2-naphthyl)ethan-1-one.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0,6363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0,0679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[1S-(1α,3aβ,4α,8aβ)]-decahydro-4,8,8-trimethyl-9-methylene-1,4-methanoazulene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475-20-7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207-491-2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 (M=10)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Oriental. balsamique. Boisé.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de poids corporel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[1S-(1α,3aβ,4α,8aβ)]-decahydro-4,8,8-trimethyl-9-methylene-1,4-methanoazulene (475-20-7)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Guideline: OECD Guideline 401 (Acute Oral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306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[1S-(1α,3aβ,4α,8aβ)]-decahydro-4,8,8-trimethyl-9-methylene-1,4-methanoazulene (475-20-7)</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0,119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0,28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306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[1S-(1α,3aβ,4α,8aβ)]-decahydro-4,8,8-trimethyl-9-methylene-1,4-methanoazulene (475-20-7)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linalool ; [3R-(3α,3aβ,6α,7β,8aα)]-octahydro-3,6,8,8-tetramethyl-1H-3a,7-methanoazulen-5-yl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[3R-(3α,3aβ,6α,7β,8aα)]-octahydro-3,6,8,8-tetramethyl-1H-3a,7-methanoazulen-5-yl acetate ; [1S-(1α,3aβ,4α,8aβ)]-decahydro-4,8,8-trimethyl-9-methylene-1,4-methanoazulene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α-hexylcinnamaldehyde, Salicylate de benzyle, linalool, [3R-(3α,3aβ,6α,7β,8aα)]-octahydro-3,6,8,8-tetramethyl-1H-3a,7-methanoazulen-5-yl acetate, 1-(1,2,3,4,5,6,7,8-octahydro-2,3,8,8-tetramethyl-2-naphthyl)ethan-1-one.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306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306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BC8A731-4BF4-4268-8C07-E9A946889060}"/>
</file>

<file path=customXml/itemProps3.xml><?xml version="1.0" encoding="utf-8"?>
<ds:datastoreItem xmlns:ds="http://schemas.openxmlformats.org/officeDocument/2006/customXml" ds:itemID="{7F053171-A5F2-489A-8C67-0E68CC48540A}"/>
</file>

<file path=customXml/itemProps4.xml><?xml version="1.0" encoding="utf-8"?>
<ds:datastoreItem xmlns:ds="http://schemas.openxmlformats.org/officeDocument/2006/customXml" ds:itemID="{0B232B64-7654-4E6E-83BB-B48AA64FEBB4}"/>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