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301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p w:rsidR="00827634" w:rsidRPr="0069446B" w:rsidP="009E5102" w14:paraId="2D05B3D4" w14:textId="5E45E9EA">
      <w:pPr>
        <w:pStyle w:val="SDSTextNormal"/>
      </w:pPr>
      <w:r w:rsidRPr="0069446B">
        <w:rPr>
          <w:noProof/>
        </w:rPr>
        <w:t>Destiné au grand public</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Catégorie d’usage principal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Utilisation par les consommateurs</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Dangereux pour le milieu aquatique – Danger chronique, catégorie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Nocif pour les organismes aquatiques, entraîne des effets néfastes à long terme.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Nocif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P273 - Éviter le rejet dans l’environnement.</w:t>
              <w:br/>
              <w:t>P501 - Éliminer le contenu et le 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géraniol; (2E)-3,7-diméthylocta-2,6-dién-1-ol, Heptanal, 2-(phenylmethylene)-, (2E)-, linalyl acetate, HEXYL CINNAMAL, linalool, LIMONENE.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F82798" w:rsidRPr="0069446B" w:rsidP="00A727C2" w14:paraId="2F7B68FE" w14:textId="77777777">
      <w:pPr>
        <w:pStyle w:val="SDSTextNormal"/>
      </w:pPr>
      <w:bookmarkStart w:id="1" w:name="_Hlk54075109"/>
    </w:p>
    <w:tbl>
      <w:tblPr>
        <w:tblStyle w:val="SDSTableWithBordersWithHeaderRow"/>
        <w:tblW w:w="10490" w:type="dxa"/>
        <w:tblLayout w:type="fixed"/>
        <w:tblLook w:val="04A0"/>
      </w:tblPr>
      <w:tblGrid>
        <w:gridCol w:w="3969"/>
        <w:gridCol w:w="6521"/>
      </w:tblGrid>
      <w:tr w14:paraId="13196026" w14:textId="77777777" w:rsidTr="0069446B">
        <w:tblPrEx>
          <w:tblW w:w="10490" w:type="dxa"/>
          <w:tblLayout w:type="fixed"/>
          <w:tblLook w:val="04A0"/>
        </w:tblPrEx>
        <w:trPr>
          <w:trHeight w:val="2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1A60EAB8" w14:textId="6DC03C18">
            <w:pPr>
              <w:pStyle w:val="SDSTableTextHeading1"/>
              <w:rPr>
                <w:noProof w:val="0"/>
                <w:color w:val="auto"/>
              </w:rPr>
            </w:pPr>
            <w:r w:rsidRPr="0069446B" w:rsidR="00FA7F7F">
              <w:rPr>
                <w:noProof/>
                <w:color w:val="auto"/>
              </w:rPr>
              <w:t>Composant</w:t>
            </w:r>
          </w:p>
        </w:tc>
      </w:tr>
      <w:tr w14:paraId="23F93DF0"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paraId="31F2666E" w14:textId="005CD678">
            <w:pPr>
              <w:pStyle w:val="SDSTableTextNormal"/>
              <w:rPr>
                <w:noProof w:val="0"/>
              </w:rPr>
            </w:pPr>
            <w:r w:rsidRPr="0069446B">
              <w:rPr>
                <w:noProof/>
              </w:rPr>
              <w:t>Substance(s) ne répondant pas aux critères PBT du règlement REACH, conformément à l’annexe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paraId="3E334B8C" w14:textId="77494AAD">
            <w:pPr>
              <w:pStyle w:val="SDSTableTextNormal"/>
              <w:rPr>
                <w:noProof w:val="0"/>
              </w:rPr>
            </w:pPr>
            <w:r w:rsidRPr="0069446B">
              <w:rPr>
                <w:noProof/>
              </w:rPr>
              <w:t>1,3,4,6,7,8-hexahydro-4,6,6,7,8,8-hexamethylindeno[5,6-c]pyran (1222-05-5)</w:t>
            </w:r>
          </w:p>
        </w:tc>
      </w:tr>
      <w:tr w14:paraId="23F93DF1"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textId="005CD678">
            <w:pPr>
              <w:pStyle w:val="SDSTableTextNormal"/>
              <w:rPr>
                <w:noProof w:val="0"/>
              </w:rPr>
            </w:pPr>
            <w:r w:rsidRPr="0069446B">
              <w:rPr>
                <w:noProof/>
              </w:rPr>
              <w:t>Substance(s) ne répondant pas aux critères vPvB du règlement REACH, conformément à l’annexe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textId="77494AAD">
            <w:pPr>
              <w:pStyle w:val="SDSTableTextNormal"/>
              <w:rPr>
                <w:noProof w:val="0"/>
              </w:rPr>
            </w:pPr>
            <w:r w:rsidRPr="0069446B">
              <w:rPr>
                <w:noProof/>
              </w:rPr>
              <w:t>1,3,4,6,7,8-hexahydro-4,6,6,7,8,8-hexamethylindeno[5,6-c]pyran (1222-05-5)</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2"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2"/>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Composant</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Substance(s) non incluse(s) dans la liste établie conformément à l’article 59, al. 1, du règlement REACH pour avoir des propriétés perturbant le système endocrinien, ou non identifiée(s) comme ayant des propriétés perturbant le système endocrinien conformément aux critères énoncés dans le règlement délégué (UE) 2017/2100 de la Commission ou le règlement (UE) 2018/605 de la Commission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 (106-24-1)</w:t>
            </w:r>
          </w:p>
        </w:tc>
      </w:tr>
    </w:tbl>
    <w:bookmarkEnd w:id="1"/>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2-phenylethanol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60-12-8</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200-456-2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(par voie orale), H302 (ATE=1610 mg/kg)</w:t>
              <w:br/>
              <w:t>Eye Irrit. 2, H319</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1,4-dioxacycloheptadecane-5,17-dione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105-95-3</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216-133-4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Heptanal, 2-(phenylmethylene)-, (2E)-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78605-96-6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800-696-3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2, H411</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1,3,4,6,7,8-hexahydro-4,6,6,7,8,8-hexamethylindeno[5,6-c]pyran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1222-05-5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214-946-9</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603-212-00-7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1, H410</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203-377-1</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 (M=1)</w:t>
              <w:br/>
              <w:t>Aquatic Chronic 3, H412</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isobutyl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87-19-4</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201-729-9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Aquatic Acute 1, H400</w:t>
              <w:br/>
              <w:t>Aquatic Chronic 2, H411</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Florale. Fruitée.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geraniol (106-24-1)</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3600 mg/kg de poids corporel Animal: rat, 95% CL: 2840 - 4570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2-phenylethanol (60-12-8)</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2535 mg/kg de poids corporel Animal: rabbit, Guideline: OECD Guideline 402 (Acute Dermal Toxicity), 95% CL: 1769 - 3634</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sidR="00FA7F7F">
              <w:rPr>
                <w:noProof/>
              </w:rPr>
              <w:t>&gt; 4,63 mg/l air Animal: rat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9000 mg/kg de poids corporel Animal: rat</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de poids corporel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de poids corporel Animal: mouse, Guideline: OECD Guideline 401 (Acute Oral Toxicity), 95% CL: 2620 - 3620</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de poids corporel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poids corporel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1,3,4,6,7,8-hexahydro-4,6,6,7,8,8-hexamethylindeno[5,6-c]pyran (1222-05-5)</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poids corporel Animal: rat, Animal sex: female,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de poids corporel Animal: rat, Guideline: OECD Guideline 402 (Acute Dermal Toxicity)</w:t>
            </w:r>
          </w:p>
        </w:tc>
      </w:tr>
      <w:tr w14:paraId="05EDDE1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CD23814">
            <w:pPr>
              <w:pStyle w:val="SDSTableTextNormal"/>
              <w:rPr>
                <w:noProof w:val="0"/>
                <w:lang w:val="de-DE"/>
              </w:rPr>
            </w:pPr>
            <w:r w:rsidRPr="0069446B" w:rsidR="00FA7F7F">
              <w:rPr>
                <w:noProof/>
                <w:lang w:val="de-DE"/>
              </w:rPr>
              <w:t>CL50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CB38F6">
            <w:pPr>
              <w:pStyle w:val="SDSTableTextNormal"/>
              <w:rPr>
                <w:noProof w:val="0"/>
              </w:rPr>
            </w:pPr>
            <w:r w:rsidRPr="0069446B">
              <w:rPr>
                <w:noProof/>
              </w:rPr>
              <w:t>&gt; 5,04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geraniol (106-24-1)</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(chronique, oral, animal/mâle, 2 ans)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de poids corporel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de poids corporel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geraniol (106-24-1)</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300 mg/kg de poids corporel Animal: rat,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2-phenylethanol (60-12-8)</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510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C0"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1,3,4,6,7,8-hexahydro-4,6,6,7,8,8-hexamethylindeno[5,6-c]pyran (1222-05-5)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150 mg/kg de poids corporel Animal: rat, Guideline: OECD Guideline 408 (Repeated Dose 90-Day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301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Informations sur les autres dangers</w:t>
      </w:r>
      <w:bookmarkEnd w:id="3"/>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Nocif pour les organismes aquatiques, entraîne des effets néfastes à long terme.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Nocif pour les organismes aquatiques, entraîne des effets néfastes à long terme.</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geraniol (106-24-1)</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 22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10,8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2-phenylethanol (60-12-8)</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215 – 464 mg/l Test organisms (species): Leuciscus idus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287,17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CE50 - Crustacés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1,3,4,6,7,8-hexahydro-4,6,6,7,8,8-hexamethylindeno[5,6-c]pyran (1222-05-5)</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0,95 mg/l Test organisms (species): Oryzias latipes</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0,194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0,854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0,723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0,075 mg/l Test organisms (species): other aquatic crustacea: Duration: '5,5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0,111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0,068 mg/l Test organisms (species): Pimephales promelas Duration: '36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301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geraniol (106-24-1)</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Heptanal, 2-(phenylmethylene)-, (2E)- (78605-96-6)</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isobutyl salicylate (87-19-4)</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2-phenylethanol (60-12-8)</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1,3,4,6,7,8-hexahydro-4,6,6,7,8,8-hexamethylindeno[5,6-c]pyran (1222-05-5)</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1,4-dioxacycloheptadecane-5,17-dione (105-95-3)</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tbl>
      <w:tblPr>
        <w:tblStyle w:val="SDSTableWithBordersWithHeaderRow"/>
        <w:tblW w:w="10489" w:type="dxa"/>
        <w:tblLayout w:type="fixed"/>
        <w:tblLook w:val="04A0"/>
      </w:tblPr>
      <w:tblGrid>
        <w:gridCol w:w="3969"/>
        <w:gridCol w:w="6520"/>
      </w:tblGrid>
      <w:tr w14:paraId="65F46652" w14:textId="77777777" w:rsidTr="000B54DE">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16EB8FB2" w14:textId="2F7C4654">
            <w:pPr>
              <w:pStyle w:val="SDSTableTextHeading1"/>
              <w:rPr>
                <w:noProof w:val="0"/>
                <w:color w:val="auto"/>
              </w:rPr>
            </w:pPr>
            <w:r w:rsidRPr="0069446B" w:rsidR="00FA7F7F">
              <w:rPr>
                <w:noProof/>
                <w:color w:val="auto"/>
              </w:rPr>
              <w:t>Composant</w:t>
            </w:r>
          </w:p>
        </w:tc>
      </w:tr>
      <w:tr w14:paraId="289CAF46"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6C063CA4" w14:textId="0A1F9996">
            <w:pPr>
              <w:pStyle w:val="SDSTableTextNormal"/>
              <w:rPr>
                <w:noProof w:val="0"/>
              </w:rPr>
            </w:pPr>
            <w:r w:rsidRPr="0069446B">
              <w:rPr>
                <w:noProof/>
              </w:rPr>
              <w:t>Substance(s) ne répondant pas aux critères PBT du règlement REACH, conformément à l’annexe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2199E96D" w14:textId="5272AD0E">
            <w:pPr>
              <w:pStyle w:val="SDSTableTextNormal"/>
              <w:rPr>
                <w:noProof w:val="0"/>
              </w:rPr>
            </w:pPr>
            <w:r w:rsidRPr="0069446B" w:rsidR="00FA7F7F">
              <w:rPr>
                <w:noProof/>
              </w:rPr>
              <w:t>1,3,4,6,7,8-hexahydro-4,6,6,7,8,8-hexamethylindeno[5,6-c]pyran (1222-05-5)</w:t>
            </w:r>
          </w:p>
        </w:tc>
      </w:tr>
      <w:tr w14:paraId="289CAF47"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0A1F9996">
            <w:pPr>
              <w:pStyle w:val="SDSTableTextNormal"/>
              <w:rPr>
                <w:noProof w:val="0"/>
              </w:rPr>
            </w:pPr>
            <w:r w:rsidRPr="0069446B">
              <w:rPr>
                <w:noProof/>
              </w:rPr>
              <w:t>Substance(s) ne répondant pas aux critères vPvB du règlement REACH, conformément à l’annexe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5272AD0E">
            <w:pPr>
              <w:pStyle w:val="SDSTableTextNormal"/>
              <w:rPr>
                <w:noProof w:val="0"/>
              </w:rPr>
            </w:pPr>
            <w:r w:rsidRPr="0069446B" w:rsidR="00FA7F7F">
              <w:rPr>
                <w:noProof/>
              </w:rPr>
              <w:t>1,3,4,6,7,8-hexahydro-4,6,6,7,8,8-hexamethylindeno[5,6-c]pyran (1222-05-5)</w:t>
            </w:r>
          </w:p>
        </w:tc>
      </w:tr>
    </w:tbl>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4"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“Écotoxique”: déchet qui présente ou peut présenter des risques immédiats ou différés pour une ou plusieurs composantes de l’environnement.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d-limonene ; 1,3,4,6,7,8-hexahydro-4,6,6,7,8,8-hexamethylindeno[5,6-c]pyran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2.1 à 2.4, 2.6 et 2.7, 2.8 types A et B, 2.9, 2.10, 2.12, 2.13 catégories 1 et 2, 2.14 catégories 1 et 2, 2.15 types A à F</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geraniol ; 2-phenylethanol ; linalyl acetate ; linalool ; 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voie orale),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 par aspiration, catégorie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Liquides inflammables, catégorie 3</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 et vapeurs inflammables.</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être mortel en cas d’ingestion et de pénétration dans les voies respiratoires.</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de graves lésions des yeux.</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géraniol; (2E)-3,7-diméthylocta-2,6-dién-1-ol, Heptanal, 2-(phenylmethylene)-, (2E)-, linalyl acetate, HEXYL CINNAMAL, linalool, LIMONENE. Peut produire une réaction allergique.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24/06/2026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24/06/2026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301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301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24/06/2026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09F81462-A332-4230-8F1E-BB20E6E54859}"/>
</file>

<file path=customXml/itemProps3.xml><?xml version="1.0" encoding="utf-8"?>
<ds:datastoreItem xmlns:ds="http://schemas.openxmlformats.org/officeDocument/2006/customXml" ds:itemID="{89C1BD5A-A360-4A39-8E8A-60DE9F0E775F}"/>
</file>

<file path=customXml/itemProps4.xml><?xml version="1.0" encoding="utf-8"?>
<ds:datastoreItem xmlns:ds="http://schemas.openxmlformats.org/officeDocument/2006/customXml" ds:itemID="{9388849C-EE84-4B33-8A91-CCCBAD709244}"/>
</file>

<file path=docProps/app.xml><?xml version="1.0" encoding="utf-8"?>
<Properties xmlns="http://schemas.openxmlformats.org/officeDocument/2006/extended-properties" xmlns:vt="http://schemas.openxmlformats.org/officeDocument/2006/docPropsVTypes">
  <Template>Normal</Template>
  <TotalTime>219</TotalTime>
  <Pages>14</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