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219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Dangereux pour le milieu aquatique – Danger chronique, catégorie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Nocif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Nocif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linalool, linalyl acetate, 1-(1,2,3,4,5,6,7,8-octahydro-2,3,8,8-tetramethyl-2-naphthyl)ethan-1-one, 3,7-dimethylnona-1,6-dien-3-ol, benzyl salicylate, hexyl salicylate.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0,31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hexyl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6259-76-3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228-408-6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 H317</w:t>
              <w:br/>
              <w:t>Repr. 2, H361</w:t>
              <w:br/>
              <w:t>Aquatic Acute 1, H400</w:t>
              <w:br/>
              <w:t>Aquatic Chronic 1, H410</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Chypre. Florale.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Non applicable</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linalool (78-70-6)</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2790 mg/kg de poids corporel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de poids corporel Animal: mouse, Guideline: OECD Guideline 401 (Acute Oral Toxicity), 95% CL: 2620 - 3620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5610 mg/kg de poids corporel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de poids corporel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219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Nocif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Nocif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linalool (78-70-6)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27,8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219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linalool (78-70-6)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hexyl salicylate (6259-76-3)</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linalool ; linalyl acetate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Dangereux pour le milieu aquatique – Danger aigu, catégorie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pour la reproduction, catégorie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Susceptible de nuire à la fertilité ou au fœtus.</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linalool, linalyl acetate, 1-(1,2,3,4,5,6,7,8-octahydro-2,3,8,8-tetramethyl-2-naphthyl)ethan-1-one, 3,7-dimethylnona-1,6-dien-3-ol, benzyl salicylate, hexyl salicylate. Peut produire une réaction allergique.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28/07/2026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28/07/2026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219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219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28/07/2026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3709ADC6-11E7-4762-AE0D-7DEF3F817FCC}"/>
</file>

<file path=customXml/itemProps3.xml><?xml version="1.0" encoding="utf-8"?>
<ds:datastoreItem xmlns:ds="http://schemas.openxmlformats.org/officeDocument/2006/customXml" ds:itemID="{E0FB59AA-188F-40EC-B11C-97705429FD54}"/>
</file>

<file path=customXml/itemProps4.xml><?xml version="1.0" encoding="utf-8"?>
<ds:datastoreItem xmlns:ds="http://schemas.openxmlformats.org/officeDocument/2006/customXml" ds:itemID="{708D6B99-65B1-4D71-A170-BC42E631B64C}"/>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